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70" w:lineRule="atLeast"/>
        <w:rPr>
          <w:rStyle w:val="11"/>
          <w:rFonts w:ascii="楷体" w:hAnsi="楷体" w:eastAsia="楷体" w:cs="楷体"/>
          <w:b w:val="0"/>
          <w:bCs w:val="0"/>
          <w:sz w:val="32"/>
          <w:szCs w:val="32"/>
        </w:rPr>
      </w:pPr>
      <w:r>
        <w:rPr>
          <w:rStyle w:val="11"/>
          <w:rFonts w:hint="eastAsia" w:ascii="楷体" w:hAnsi="楷体" w:eastAsia="楷体" w:cs="楷体"/>
          <w:b w:val="0"/>
          <w:bCs w:val="0"/>
          <w:sz w:val="32"/>
          <w:szCs w:val="32"/>
        </w:rPr>
        <w:t>附件</w:t>
      </w:r>
    </w:p>
    <w:p>
      <w:pPr>
        <w:pStyle w:val="7"/>
        <w:spacing w:before="0" w:beforeAutospacing="0" w:after="0" w:afterAutospacing="0" w:line="570" w:lineRule="atLeast"/>
        <w:jc w:val="center"/>
        <w:rPr>
          <w:rStyle w:val="11"/>
          <w:rFonts w:ascii="&amp;quot" w:hAnsi="&amp;quot"/>
          <w:sz w:val="44"/>
          <w:szCs w:val="44"/>
        </w:rPr>
      </w:pPr>
      <w:r>
        <w:rPr>
          <w:rStyle w:val="11"/>
          <w:rFonts w:hint="eastAsia" w:ascii="&amp;quot" w:hAnsi="&amp;quot"/>
          <w:sz w:val="44"/>
          <w:szCs w:val="44"/>
        </w:rPr>
        <w:t>《</w:t>
      </w:r>
      <w:r>
        <w:rPr>
          <w:rStyle w:val="11"/>
          <w:rFonts w:ascii="&amp;quot" w:hAnsi="&amp;quot"/>
          <w:sz w:val="44"/>
          <w:szCs w:val="44"/>
        </w:rPr>
        <w:t>深圳市地价测算规则</w:t>
      </w:r>
      <w:r>
        <w:rPr>
          <w:rStyle w:val="11"/>
          <w:rFonts w:hint="eastAsia" w:ascii="&amp;quot" w:hAnsi="&amp;quot"/>
          <w:sz w:val="44"/>
          <w:szCs w:val="44"/>
        </w:rPr>
        <w:t>》附表</w:t>
      </w:r>
    </w:p>
    <w:p>
      <w:pPr>
        <w:pStyle w:val="7"/>
        <w:spacing w:before="0" w:beforeAutospacing="0" w:after="0" w:afterAutospacing="0" w:line="570" w:lineRule="atLeast"/>
        <w:jc w:val="center"/>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2020年</w:t>
      </w:r>
      <w:r>
        <w:rPr>
          <w:rFonts w:hint="eastAsia" w:ascii="仿宋" w:hAnsi="仿宋" w:eastAsia="仿宋" w:cs="仿宋"/>
          <w:sz w:val="32"/>
          <w:szCs w:val="32"/>
        </w:rPr>
        <w:t>修订稿）</w:t>
      </w:r>
    </w:p>
    <w:p>
      <w:pPr>
        <w:spacing w:line="579" w:lineRule="exact"/>
        <w:ind w:firstLine="643" w:firstLineChars="200"/>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附表1  建筑类型适用地价标准及修正系数表</w:t>
      </w:r>
    </w:p>
    <w:tbl>
      <w:tblPr>
        <w:tblStyle w:val="9"/>
        <w:tblW w:w="9036" w:type="dxa"/>
        <w:jc w:val="center"/>
        <w:tblInd w:w="0" w:type="dxa"/>
        <w:tblLayout w:type="fixed"/>
        <w:tblCellMar>
          <w:top w:w="0" w:type="dxa"/>
          <w:left w:w="108" w:type="dxa"/>
          <w:bottom w:w="0" w:type="dxa"/>
          <w:right w:w="108" w:type="dxa"/>
        </w:tblCellMar>
      </w:tblPr>
      <w:tblGrid>
        <w:gridCol w:w="730"/>
        <w:gridCol w:w="708"/>
        <w:gridCol w:w="5187"/>
        <w:gridCol w:w="1253"/>
        <w:gridCol w:w="1158"/>
      </w:tblGrid>
      <w:tr>
        <w:tblPrEx>
          <w:tblLayout w:type="fixed"/>
          <w:tblCellMar>
            <w:top w:w="0" w:type="dxa"/>
            <w:left w:w="108" w:type="dxa"/>
            <w:bottom w:w="0" w:type="dxa"/>
            <w:right w:w="108" w:type="dxa"/>
          </w:tblCellMar>
        </w:tblPrEx>
        <w:trPr>
          <w:trHeight w:val="284"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589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建筑类型</w:t>
            </w:r>
          </w:p>
        </w:tc>
        <w:tc>
          <w:tcPr>
            <w:tcW w:w="125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适用地价</w:t>
            </w:r>
          </w:p>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类型</w:t>
            </w:r>
          </w:p>
        </w:tc>
        <w:tc>
          <w:tcPr>
            <w:tcW w:w="115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修正</w:t>
            </w:r>
          </w:p>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系数</w:t>
            </w:r>
          </w:p>
        </w:tc>
      </w:tr>
      <w:tr>
        <w:tblPrEx>
          <w:tblLayout w:type="fixed"/>
          <w:tblCellMar>
            <w:top w:w="0" w:type="dxa"/>
            <w:left w:w="108" w:type="dxa"/>
            <w:bottom w:w="0" w:type="dxa"/>
            <w:right w:w="108" w:type="dxa"/>
          </w:tblCellMar>
        </w:tblPrEx>
        <w:trPr>
          <w:trHeight w:val="60"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89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厂房（含新型产业用地中的厂房）</w:t>
            </w:r>
          </w:p>
        </w:tc>
        <w:tc>
          <w:tcPr>
            <w:tcW w:w="1253" w:type="dxa"/>
            <w:vMerge w:val="restart"/>
            <w:tcBorders>
              <w:top w:val="nil"/>
              <w:left w:val="single" w:color="auto" w:sz="4" w:space="0"/>
              <w:bottom w:val="single" w:color="auto" w:sz="4" w:space="0"/>
              <w:right w:val="nil"/>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w:t>
            </w:r>
          </w:p>
        </w:tc>
        <w:tc>
          <w:tcPr>
            <w:tcW w:w="11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Layout w:type="fixed"/>
          <w:tblCellMar>
            <w:top w:w="0" w:type="dxa"/>
            <w:left w:w="108" w:type="dxa"/>
            <w:bottom w:w="0" w:type="dxa"/>
            <w:right w:w="108" w:type="dxa"/>
          </w:tblCellMar>
        </w:tblPrEx>
        <w:trPr>
          <w:trHeight w:val="324"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89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仓库（含物流用地中的仓库）</w:t>
            </w:r>
          </w:p>
        </w:tc>
        <w:tc>
          <w:tcPr>
            <w:tcW w:w="1253" w:type="dxa"/>
            <w:vMerge w:val="continue"/>
            <w:tcBorders>
              <w:top w:val="nil"/>
              <w:left w:val="single" w:color="auto" w:sz="4" w:space="0"/>
              <w:bottom w:val="single" w:color="auto" w:sz="4" w:space="0"/>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11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i/>
                <w:iCs/>
                <w:color w:val="0000FF"/>
                <w:sz w:val="24"/>
                <w:szCs w:val="24"/>
              </w:rPr>
            </w:pPr>
            <w:r>
              <w:rPr>
                <w:rFonts w:hint="eastAsia" w:ascii="仿宋_GB2312" w:hAnsi="仿宋_GB2312" w:eastAsia="仿宋_GB2312" w:cs="仿宋_GB2312"/>
                <w:sz w:val="24"/>
                <w:szCs w:val="24"/>
              </w:rPr>
              <w:t>1</w:t>
            </w:r>
          </w:p>
        </w:tc>
      </w:tr>
      <w:tr>
        <w:tblPrEx>
          <w:tblLayout w:type="fixed"/>
          <w:tblCellMar>
            <w:top w:w="0" w:type="dxa"/>
            <w:left w:w="108" w:type="dxa"/>
            <w:bottom w:w="0" w:type="dxa"/>
            <w:right w:w="108" w:type="dxa"/>
          </w:tblCellMar>
        </w:tblPrEx>
        <w:trPr>
          <w:trHeight w:val="284" w:hRule="atLeast"/>
          <w:jc w:val="center"/>
        </w:trPr>
        <w:tc>
          <w:tcPr>
            <w:tcW w:w="7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589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公用设施、市政设施及施工配套设施、训考场、殡葬设施</w:t>
            </w:r>
          </w:p>
        </w:tc>
        <w:tc>
          <w:tcPr>
            <w:tcW w:w="1253" w:type="dxa"/>
            <w:vMerge w:val="continue"/>
            <w:tcBorders>
              <w:top w:val="nil"/>
              <w:left w:val="single" w:color="auto" w:sz="4" w:space="0"/>
              <w:bottom w:val="single" w:color="auto" w:sz="4" w:space="0"/>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11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0.3</w:t>
            </w:r>
          </w:p>
        </w:tc>
      </w:tr>
      <w:tr>
        <w:tblPrEx>
          <w:tblLayout w:type="fixed"/>
          <w:tblCellMar>
            <w:top w:w="0" w:type="dxa"/>
            <w:left w:w="108" w:type="dxa"/>
            <w:bottom w:w="0" w:type="dxa"/>
            <w:right w:w="108" w:type="dxa"/>
          </w:tblCellMar>
        </w:tblPrEx>
        <w:trPr>
          <w:trHeight w:val="463"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589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交通设施（不含加油站、加气站、训考场、社会停车场（库）），综合管廊</w:t>
            </w:r>
          </w:p>
        </w:tc>
        <w:tc>
          <w:tcPr>
            <w:tcW w:w="1253" w:type="dxa"/>
            <w:vMerge w:val="continue"/>
            <w:tcBorders>
              <w:top w:val="nil"/>
              <w:left w:val="single" w:color="auto" w:sz="4" w:space="0"/>
              <w:bottom w:val="single" w:color="auto" w:sz="4" w:space="0"/>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1158"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0.1</w:t>
            </w:r>
          </w:p>
        </w:tc>
      </w:tr>
      <w:tr>
        <w:tblPrEx>
          <w:tblLayout w:type="fixed"/>
          <w:tblCellMar>
            <w:top w:w="0" w:type="dxa"/>
            <w:left w:w="108" w:type="dxa"/>
            <w:bottom w:w="0" w:type="dxa"/>
            <w:right w:w="108" w:type="dxa"/>
          </w:tblCellMar>
        </w:tblPrEx>
        <w:trPr>
          <w:trHeight w:val="277" w:hRule="atLeast"/>
          <w:jc w:val="center"/>
        </w:trPr>
        <w:tc>
          <w:tcPr>
            <w:tcW w:w="730"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89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新型产业用地中的研发用房、物流建筑</w:t>
            </w:r>
          </w:p>
        </w:tc>
        <w:tc>
          <w:tcPr>
            <w:tcW w:w="1253" w:type="dxa"/>
            <w:vMerge w:val="continue"/>
            <w:tcBorders>
              <w:top w:val="nil"/>
              <w:left w:val="single" w:color="auto" w:sz="4" w:space="0"/>
              <w:bottom w:val="single" w:color="auto" w:sz="4" w:space="0"/>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1158"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见备注3</w:t>
            </w:r>
          </w:p>
        </w:tc>
      </w:tr>
      <w:tr>
        <w:tblPrEx>
          <w:tblLayout w:type="fixed"/>
          <w:tblCellMar>
            <w:top w:w="0" w:type="dxa"/>
            <w:left w:w="108" w:type="dxa"/>
            <w:bottom w:w="0" w:type="dxa"/>
            <w:right w:w="108" w:type="dxa"/>
          </w:tblCellMar>
        </w:tblPrEx>
        <w:trPr>
          <w:trHeight w:val="201" w:hRule="atLeast"/>
          <w:jc w:val="center"/>
        </w:trPr>
        <w:tc>
          <w:tcPr>
            <w:tcW w:w="730" w:type="dxa"/>
            <w:vMerge w:val="restart"/>
            <w:tcBorders>
              <w:top w:val="single" w:color="auto" w:sz="4" w:space="0"/>
              <w:left w:val="single" w:color="auto" w:sz="4" w:space="0"/>
              <w:bottom w:val="nil"/>
              <w:right w:val="nil"/>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5895" w:type="dxa"/>
            <w:gridSpan w:val="2"/>
            <w:tcBorders>
              <w:top w:val="single" w:color="auto" w:sz="4" w:space="0"/>
              <w:left w:val="single" w:color="auto" w:sz="4" w:space="0"/>
              <w:bottom w:val="single" w:color="auto" w:sz="4" w:space="0"/>
              <w:right w:val="single" w:color="000000"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住宅</w:t>
            </w:r>
          </w:p>
        </w:tc>
        <w:tc>
          <w:tcPr>
            <w:tcW w:w="1253" w:type="dxa"/>
            <w:vMerge w:val="restart"/>
            <w:tcBorders>
              <w:top w:val="single" w:color="auto" w:sz="4" w:space="0"/>
              <w:left w:val="nil"/>
              <w:bottom w:val="nil"/>
              <w:right w:val="nil"/>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住宅</w:t>
            </w:r>
          </w:p>
        </w:tc>
        <w:tc>
          <w:tcPr>
            <w:tcW w:w="11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Layout w:type="fixed"/>
          <w:tblCellMar>
            <w:top w:w="0" w:type="dxa"/>
            <w:left w:w="108" w:type="dxa"/>
            <w:bottom w:w="0" w:type="dxa"/>
            <w:right w:w="108" w:type="dxa"/>
          </w:tblCellMar>
        </w:tblPrEx>
        <w:trPr>
          <w:trHeight w:val="243" w:hRule="atLeast"/>
          <w:jc w:val="center"/>
        </w:trPr>
        <w:tc>
          <w:tcPr>
            <w:tcW w:w="730" w:type="dxa"/>
            <w:vMerge w:val="continue"/>
            <w:tcBorders>
              <w:top w:val="single" w:color="auto" w:sz="4" w:space="0"/>
              <w:left w:val="single" w:color="auto" w:sz="4" w:space="0"/>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708" w:type="dxa"/>
            <w:vMerge w:val="restart"/>
            <w:tcBorders>
              <w:top w:val="nil"/>
              <w:left w:val="single" w:color="auto" w:sz="4" w:space="0"/>
              <w:bottom w:val="nil"/>
              <w:right w:val="nil"/>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51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宿舍</w:t>
            </w:r>
          </w:p>
        </w:tc>
        <w:tc>
          <w:tcPr>
            <w:tcW w:w="1253" w:type="dxa"/>
            <w:vMerge w:val="continue"/>
            <w:tcBorders>
              <w:top w:val="single" w:color="auto" w:sz="4"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11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0.6</w:t>
            </w:r>
          </w:p>
        </w:tc>
      </w:tr>
      <w:tr>
        <w:tblPrEx>
          <w:tblLayout w:type="fixed"/>
          <w:tblCellMar>
            <w:top w:w="0" w:type="dxa"/>
            <w:left w:w="108" w:type="dxa"/>
            <w:bottom w:w="0" w:type="dxa"/>
            <w:right w:w="108" w:type="dxa"/>
          </w:tblCellMar>
        </w:tblPrEx>
        <w:trPr>
          <w:trHeight w:val="284" w:hRule="atLeast"/>
          <w:jc w:val="center"/>
        </w:trPr>
        <w:tc>
          <w:tcPr>
            <w:tcW w:w="730" w:type="dxa"/>
            <w:vMerge w:val="continue"/>
            <w:tcBorders>
              <w:top w:val="single" w:color="auto" w:sz="4" w:space="0"/>
              <w:left w:val="single" w:color="auto" w:sz="4" w:space="0"/>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708" w:type="dxa"/>
            <w:vMerge w:val="continue"/>
            <w:tcBorders>
              <w:top w:val="nil"/>
              <w:left w:val="single" w:color="auto" w:sz="4" w:space="0"/>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518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人才住房</w:t>
            </w:r>
          </w:p>
        </w:tc>
        <w:tc>
          <w:tcPr>
            <w:tcW w:w="1253" w:type="dxa"/>
            <w:vMerge w:val="continue"/>
            <w:tcBorders>
              <w:top w:val="single" w:color="auto" w:sz="4"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1158"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0.4</w:t>
            </w:r>
          </w:p>
        </w:tc>
      </w:tr>
      <w:tr>
        <w:tblPrEx>
          <w:tblLayout w:type="fixed"/>
          <w:tblCellMar>
            <w:top w:w="0" w:type="dxa"/>
            <w:left w:w="108" w:type="dxa"/>
            <w:bottom w:w="0" w:type="dxa"/>
            <w:right w:w="108" w:type="dxa"/>
          </w:tblCellMar>
        </w:tblPrEx>
        <w:trPr>
          <w:trHeight w:val="129" w:hRule="atLeast"/>
          <w:jc w:val="center"/>
        </w:trPr>
        <w:tc>
          <w:tcPr>
            <w:tcW w:w="730" w:type="dxa"/>
            <w:vMerge w:val="continue"/>
            <w:tcBorders>
              <w:top w:val="single" w:color="auto" w:sz="4" w:space="0"/>
              <w:left w:val="single" w:color="auto" w:sz="4" w:space="0"/>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708" w:type="dxa"/>
            <w:vMerge w:val="continue"/>
            <w:tcBorders>
              <w:top w:val="nil"/>
              <w:left w:val="single" w:color="auto" w:sz="4" w:space="0"/>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5187"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公共租赁住房、安居型商品房</w:t>
            </w:r>
          </w:p>
        </w:tc>
        <w:tc>
          <w:tcPr>
            <w:tcW w:w="1253" w:type="dxa"/>
            <w:vMerge w:val="continue"/>
            <w:tcBorders>
              <w:top w:val="single" w:color="auto" w:sz="4" w:space="0"/>
              <w:left w:val="nil"/>
              <w:bottom w:val="nil"/>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1158"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0.3</w:t>
            </w:r>
          </w:p>
        </w:tc>
      </w:tr>
      <w:tr>
        <w:tblPrEx>
          <w:tblLayout w:type="fixed"/>
          <w:tblCellMar>
            <w:top w:w="0" w:type="dxa"/>
            <w:left w:w="108" w:type="dxa"/>
            <w:bottom w:w="0" w:type="dxa"/>
            <w:right w:w="108" w:type="dxa"/>
          </w:tblCellMar>
        </w:tblPrEx>
        <w:trPr>
          <w:trHeight w:val="284"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589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办公、商务公寓</w:t>
            </w:r>
          </w:p>
        </w:tc>
        <w:tc>
          <w:tcPr>
            <w:tcW w:w="1253" w:type="dxa"/>
            <w:vMerge w:val="restart"/>
            <w:tcBorders>
              <w:top w:val="single" w:color="auto" w:sz="4" w:space="0"/>
              <w:left w:val="single" w:color="auto" w:sz="4" w:space="0"/>
              <w:bottom w:val="single" w:color="auto" w:sz="4" w:space="0"/>
              <w:right w:val="nil"/>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w:t>
            </w:r>
          </w:p>
        </w:tc>
        <w:tc>
          <w:tcPr>
            <w:tcW w:w="1158"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Layout w:type="fixed"/>
          <w:tblCellMar>
            <w:top w:w="0" w:type="dxa"/>
            <w:left w:w="108" w:type="dxa"/>
            <w:bottom w:w="0" w:type="dxa"/>
            <w:right w:w="108" w:type="dxa"/>
          </w:tblCellMar>
        </w:tblPrEx>
        <w:trPr>
          <w:trHeight w:val="284" w:hRule="atLeast"/>
          <w:jc w:val="center"/>
        </w:trPr>
        <w:tc>
          <w:tcPr>
            <w:tcW w:w="730"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589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旅馆业建筑、会议中心</w:t>
            </w:r>
          </w:p>
        </w:tc>
        <w:tc>
          <w:tcPr>
            <w:tcW w:w="1253" w:type="dxa"/>
            <w:vMerge w:val="continue"/>
            <w:tcBorders>
              <w:top w:val="single" w:color="auto" w:sz="4" w:space="0"/>
              <w:left w:val="single" w:color="auto" w:sz="4" w:space="0"/>
              <w:bottom w:val="single" w:color="auto" w:sz="4" w:space="0"/>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1158"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0.5</w:t>
            </w:r>
          </w:p>
        </w:tc>
      </w:tr>
      <w:tr>
        <w:tblPrEx>
          <w:tblLayout w:type="fixed"/>
          <w:tblCellMar>
            <w:top w:w="0" w:type="dxa"/>
            <w:left w:w="108" w:type="dxa"/>
            <w:bottom w:w="0" w:type="dxa"/>
            <w:right w:w="108" w:type="dxa"/>
          </w:tblCellMar>
        </w:tblPrEx>
        <w:trPr>
          <w:trHeight w:val="284" w:hRule="atLeast"/>
          <w:jc w:val="center"/>
        </w:trPr>
        <w:tc>
          <w:tcPr>
            <w:tcW w:w="730"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589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文化设施、医疗卫生设施、教育设施、科研用房</w:t>
            </w:r>
          </w:p>
        </w:tc>
        <w:tc>
          <w:tcPr>
            <w:tcW w:w="1253" w:type="dxa"/>
            <w:vMerge w:val="continue"/>
            <w:tcBorders>
              <w:top w:val="single" w:color="auto" w:sz="4" w:space="0"/>
              <w:left w:val="single" w:color="auto" w:sz="4" w:space="0"/>
              <w:bottom w:val="single" w:color="auto" w:sz="4" w:space="0"/>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1158"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0.3</w:t>
            </w:r>
          </w:p>
        </w:tc>
      </w:tr>
      <w:tr>
        <w:tblPrEx>
          <w:tblLayout w:type="fixed"/>
          <w:tblCellMar>
            <w:top w:w="0" w:type="dxa"/>
            <w:left w:w="108" w:type="dxa"/>
            <w:bottom w:w="0" w:type="dxa"/>
            <w:right w:w="108" w:type="dxa"/>
          </w:tblCellMar>
        </w:tblPrEx>
        <w:trPr>
          <w:trHeight w:val="284" w:hRule="atLeast"/>
          <w:jc w:val="center"/>
        </w:trPr>
        <w:tc>
          <w:tcPr>
            <w:tcW w:w="730"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5895"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文化遗产、体育设施、幼儿园（托儿所）、宗教建筑、社会福利设施、特殊建筑、社会停车场（库）、邮政网点（所）</w:t>
            </w:r>
          </w:p>
        </w:tc>
        <w:tc>
          <w:tcPr>
            <w:tcW w:w="1253" w:type="dxa"/>
            <w:vMerge w:val="continue"/>
            <w:tcBorders>
              <w:top w:val="single" w:color="auto" w:sz="4" w:space="0"/>
              <w:left w:val="single" w:color="auto" w:sz="4" w:space="0"/>
              <w:bottom w:val="single" w:color="auto" w:sz="4" w:space="0"/>
              <w:right w:val="nil"/>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1158"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0.1</w:t>
            </w:r>
          </w:p>
        </w:tc>
      </w:tr>
      <w:tr>
        <w:tblPrEx>
          <w:tblLayout w:type="fixed"/>
          <w:tblCellMar>
            <w:top w:w="0" w:type="dxa"/>
            <w:left w:w="108" w:type="dxa"/>
            <w:bottom w:w="0" w:type="dxa"/>
            <w:right w:w="108" w:type="dxa"/>
          </w:tblCellMar>
        </w:tblPrEx>
        <w:trPr>
          <w:trHeight w:val="284"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589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商业（不包括旅馆业建筑、肉菜市场、游乐设施、会议中心）、加油站</w:t>
            </w:r>
          </w:p>
        </w:tc>
        <w:tc>
          <w:tcPr>
            <w:tcW w:w="1253" w:type="dxa"/>
            <w:vMerge w:val="restar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商业</w:t>
            </w:r>
          </w:p>
        </w:tc>
        <w:tc>
          <w:tcPr>
            <w:tcW w:w="115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Layout w:type="fixed"/>
          <w:tblCellMar>
            <w:top w:w="0" w:type="dxa"/>
            <w:left w:w="108" w:type="dxa"/>
            <w:bottom w:w="0" w:type="dxa"/>
            <w:right w:w="108" w:type="dxa"/>
          </w:tblCellMar>
        </w:tblPrEx>
        <w:trPr>
          <w:trHeight w:val="284"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589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游乐设施</w:t>
            </w:r>
          </w:p>
        </w:tc>
        <w:tc>
          <w:tcPr>
            <w:tcW w:w="1253"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1158" w:type="dxa"/>
            <w:tcBorders>
              <w:top w:val="nil"/>
              <w:left w:val="nil"/>
              <w:bottom w:val="single" w:color="auto" w:sz="4" w:space="0"/>
              <w:right w:val="single" w:color="auto" w:sz="4" w:space="0"/>
            </w:tcBorders>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0.4</w:t>
            </w:r>
          </w:p>
        </w:tc>
      </w:tr>
      <w:tr>
        <w:tblPrEx>
          <w:tblLayout w:type="fixed"/>
          <w:tblCellMar>
            <w:top w:w="0" w:type="dxa"/>
            <w:left w:w="108" w:type="dxa"/>
            <w:bottom w:w="0" w:type="dxa"/>
            <w:right w:w="108" w:type="dxa"/>
          </w:tblCellMar>
        </w:tblPrEx>
        <w:trPr>
          <w:trHeight w:val="284"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5895" w:type="dxa"/>
            <w:gridSpan w:val="2"/>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加气站、肉菜市场</w:t>
            </w:r>
          </w:p>
        </w:tc>
        <w:tc>
          <w:tcPr>
            <w:tcW w:w="1253"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sz w:val="24"/>
                <w:szCs w:val="24"/>
              </w:rPr>
            </w:pPr>
          </w:p>
        </w:tc>
        <w:tc>
          <w:tcPr>
            <w:tcW w:w="115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0.3</w:t>
            </w:r>
          </w:p>
        </w:tc>
      </w:tr>
      <w:tr>
        <w:tblPrEx>
          <w:tblLayout w:type="fixed"/>
          <w:tblCellMar>
            <w:top w:w="0" w:type="dxa"/>
            <w:left w:w="108" w:type="dxa"/>
            <w:bottom w:w="0" w:type="dxa"/>
            <w:right w:w="108" w:type="dxa"/>
          </w:tblCellMar>
        </w:tblPrEx>
        <w:trPr>
          <w:trHeight w:val="2214" w:hRule="atLeast"/>
          <w:jc w:val="center"/>
        </w:trPr>
        <w:tc>
          <w:tcPr>
            <w:tcW w:w="9036" w:type="dxa"/>
            <w:gridSpan w:val="5"/>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90" w:lineRule="exact"/>
              <w:ind w:left="0" w:right="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p>
            <w:pPr>
              <w:keepNext w:val="0"/>
              <w:keepLines w:val="0"/>
              <w:widowControl/>
              <w:suppressLineNumbers w:val="0"/>
              <w:spacing w:before="0" w:beforeAutospacing="0" w:after="0" w:afterAutospacing="0" w:line="290" w:lineRule="exact"/>
              <w:ind w:left="0" w:right="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1．建筑类型（除</w:t>
            </w:r>
            <w:r>
              <w:rPr>
                <w:rFonts w:hint="eastAsia" w:ascii="仿宋_GB2312" w:hAnsi="仿宋_GB2312" w:eastAsia="仿宋_GB2312" w:cs="仿宋_GB2312"/>
                <w:sz w:val="24"/>
                <w:szCs w:val="24"/>
              </w:rPr>
              <w:t>公共租赁住房、安居型商品房、人才住房外</w:t>
            </w:r>
            <w:r>
              <w:rPr>
                <w:rFonts w:hint="eastAsia" w:ascii="仿宋_GB2312" w:hAnsi="仿宋_GB2312" w:eastAsia="仿宋_GB2312" w:cs="仿宋_GB2312"/>
                <w:kern w:val="0"/>
                <w:sz w:val="24"/>
                <w:szCs w:val="24"/>
              </w:rPr>
              <w:t>）对应《深圳市城市规划标准与准则》。</w:t>
            </w:r>
          </w:p>
          <w:p>
            <w:pPr>
              <w:keepNext w:val="0"/>
              <w:keepLines w:val="0"/>
              <w:widowControl/>
              <w:suppressLineNumbers w:val="0"/>
              <w:spacing w:before="0" w:beforeAutospacing="0" w:after="0" w:afterAutospacing="0" w:line="290" w:lineRule="exact"/>
              <w:ind w:left="0" w:right="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2．上表中未涵盖的其他配建建筑类型按主体建筑类型地价标准测算地价。主体建筑类型是规划许可文件中面积占比最大的建筑类型；无法确定的按规划许可文件中的土地用途确定。</w:t>
            </w:r>
          </w:p>
          <w:p>
            <w:pPr>
              <w:keepNext w:val="0"/>
              <w:keepLines w:val="0"/>
              <w:widowControl/>
              <w:suppressLineNumbers w:val="0"/>
              <w:spacing w:before="0" w:beforeAutospacing="0" w:after="0" w:afterAutospacing="0" w:line="290" w:lineRule="exact"/>
              <w:ind w:left="0" w:right="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sz w:val="24"/>
                <w:szCs w:val="24"/>
              </w:rPr>
              <w:t>研发用房、物流建筑”的</w:t>
            </w:r>
            <w:r>
              <w:rPr>
                <w:rFonts w:hint="eastAsia" w:ascii="仿宋_GB2312" w:hAnsi="仿宋_GB2312" w:eastAsia="仿宋_GB2312" w:cs="仿宋_GB2312"/>
                <w:kern w:val="0"/>
                <w:sz w:val="24"/>
                <w:szCs w:val="24"/>
              </w:rPr>
              <w:t>地价按工业50%+办公50%测算。</w:t>
            </w:r>
          </w:p>
          <w:p>
            <w:pPr>
              <w:keepNext w:val="0"/>
              <w:keepLines w:val="0"/>
              <w:widowControl/>
              <w:suppressLineNumbers w:val="0"/>
              <w:spacing w:before="0" w:beforeAutospacing="0" w:after="0" w:afterAutospacing="0" w:line="290" w:lineRule="exact"/>
              <w:ind w:left="0" w:right="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4．协议出让给市政府确定的投资主体建设只租不售的创新型产业用房部分，地价按照相应用途标准的50%测算。</w:t>
            </w:r>
          </w:p>
          <w:p>
            <w:pPr>
              <w:keepNext w:val="0"/>
              <w:keepLines w:val="0"/>
              <w:widowControl/>
              <w:suppressLineNumbers w:val="0"/>
              <w:spacing w:before="0" w:beforeAutospacing="0" w:after="0" w:afterAutospacing="0" w:line="290" w:lineRule="exact"/>
              <w:ind w:left="0" w:right="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5．产业用地测算地价时，产业用地配套办公、宿舍等建筑面积按照对应的建筑类型测算地价，配套的办公、宿舍等建筑面积经基础修正后的楼面单价不得低于同等条件下产业主体建筑类型的楼面单价。</w:t>
            </w:r>
          </w:p>
          <w:p>
            <w:pPr>
              <w:keepNext w:val="0"/>
              <w:keepLines w:val="0"/>
              <w:widowControl/>
              <w:suppressLineNumbers w:val="0"/>
              <w:spacing w:before="0" w:beforeAutospacing="0" w:after="0" w:afterAutospacing="0" w:line="290" w:lineRule="exact"/>
              <w:ind w:left="0" w:right="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6．交通设施、市政设施用地配套建设的辅助设施、管理维修设施和必要配套的附属设施，按主体建筑类型测算地价。</w:t>
            </w:r>
          </w:p>
          <w:p>
            <w:pPr>
              <w:keepNext w:val="0"/>
              <w:keepLines w:val="0"/>
              <w:widowControl/>
              <w:suppressLineNumbers w:val="0"/>
              <w:spacing w:before="0" w:beforeAutospacing="0" w:after="0" w:afterAutospacing="0" w:line="290" w:lineRule="exact"/>
              <w:ind w:left="0" w:right="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7．新供应加油、加气混合用地，已明确加油、加气功能占地面积的，按占地面积分别计算地价后合计；未明确加油、加气功能占地面积的，以宗地为单位，按照加油站和加气站土地的市场价格的均值确定地价。</w:t>
            </w:r>
          </w:p>
          <w:p>
            <w:pPr>
              <w:keepNext w:val="0"/>
              <w:keepLines w:val="0"/>
              <w:widowControl/>
              <w:suppressLineNumbers w:val="0"/>
              <w:spacing w:before="0" w:beforeAutospacing="0" w:after="0" w:afterAutospacing="0" w:line="290" w:lineRule="exact"/>
              <w:ind w:left="0" w:right="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8．高尔夫球场、高尔夫练习场、地上规定建筑面积小于土地面积的住宅用地不适用本表。</w:t>
            </w:r>
          </w:p>
          <w:p>
            <w:pPr>
              <w:keepNext w:val="0"/>
              <w:keepLines w:val="0"/>
              <w:widowControl/>
              <w:suppressLineNumbers w:val="0"/>
              <w:spacing w:before="0" w:beforeAutospacing="0" w:after="0" w:afterAutospacing="0" w:line="290" w:lineRule="exact"/>
              <w:ind w:left="0" w:right="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9．本表中第7、11、12类建筑类型及幼儿园、</w:t>
            </w:r>
            <w:r>
              <w:rPr>
                <w:rFonts w:hint="eastAsia" w:ascii="仿宋_GB2312" w:hAnsi="仿宋_GB2312" w:eastAsia="仿宋_GB2312" w:cs="仿宋_GB2312"/>
                <w:sz w:val="24"/>
                <w:szCs w:val="24"/>
              </w:rPr>
              <w:t>邮政网点（所）、</w:t>
            </w:r>
            <w:r>
              <w:rPr>
                <w:rFonts w:hint="eastAsia" w:ascii="仿宋_GB2312" w:hAnsi="仿宋_GB2312" w:eastAsia="仿宋_GB2312" w:cs="仿宋_GB2312"/>
                <w:kern w:val="0"/>
                <w:sz w:val="24"/>
                <w:szCs w:val="24"/>
              </w:rPr>
              <w:t>社会停车场、加油站原则上应在出让方案或供应合同中明确该类建筑类型限整体转让</w:t>
            </w:r>
            <w:r>
              <w:rPr>
                <w:rFonts w:hint="eastAsia" w:ascii="仿宋_GB2312" w:hAnsi="仿宋_GB2312" w:eastAsia="仿宋_GB2312" w:cs="仿宋_GB2312"/>
                <w:sz w:val="24"/>
                <w:szCs w:val="24"/>
              </w:rPr>
              <w:t>。</w:t>
            </w:r>
          </w:p>
          <w:p>
            <w:pPr>
              <w:keepNext w:val="0"/>
              <w:keepLines w:val="0"/>
              <w:widowControl/>
              <w:suppressLineNumbers w:val="0"/>
              <w:spacing w:before="0" w:beforeAutospacing="0" w:after="0" w:afterAutospacing="0" w:line="290" w:lineRule="exact"/>
              <w:ind w:left="0" w:right="0"/>
              <w:rPr>
                <w:rFonts w:hint="eastAsia"/>
                <w:i/>
                <w:iCs/>
                <w:color w:val="0000FF"/>
              </w:rPr>
            </w:pPr>
            <w:r>
              <w:rPr>
                <w:rFonts w:hint="eastAsia" w:ascii="仿宋_GB2312" w:hAnsi="仿宋_GB2312" w:eastAsia="仿宋_GB2312" w:cs="仿宋_GB2312"/>
                <w:kern w:val="0"/>
                <w:sz w:val="24"/>
                <w:szCs w:val="24"/>
              </w:rPr>
              <w:t>10．政府投资新建的安置用房和产权归属政府的房屋用做安置用房的，地价按照相应用途的10%测算。</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_GB2312" w:eastAsia="仿宋_GB2312" w:cs="仿宋_GB2312"/>
          <w:b/>
          <w:bCs/>
          <w:kern w:val="0"/>
          <w:sz w:val="24"/>
          <w:szCs w:val="24"/>
        </w:rPr>
      </w:pPr>
    </w:p>
    <w:p>
      <w:pPr>
        <w:spacing w:line="579"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附表2  土地使用年期修正系数表</w:t>
      </w:r>
    </w:p>
    <w:tbl>
      <w:tblPr>
        <w:tblStyle w:val="9"/>
        <w:tblW w:w="998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035"/>
        <w:gridCol w:w="1048"/>
        <w:gridCol w:w="1034"/>
        <w:gridCol w:w="1083"/>
        <w:gridCol w:w="719"/>
        <w:gridCol w:w="1107"/>
        <w:gridCol w:w="1137"/>
        <w:gridCol w:w="1023"/>
        <w:gridCol w:w="1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3" w:hRule="atLeast"/>
          <w:tblHeader/>
          <w:jc w:val="center"/>
        </w:trPr>
        <w:tc>
          <w:tcPr>
            <w:tcW w:w="7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年期</w:t>
            </w:r>
          </w:p>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n</w:t>
            </w:r>
          </w:p>
        </w:tc>
        <w:tc>
          <w:tcPr>
            <w:tcW w:w="103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住宅类</w:t>
            </w:r>
          </w:p>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（70年）</w:t>
            </w:r>
          </w:p>
        </w:tc>
        <w:tc>
          <w:tcPr>
            <w:tcW w:w="104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商业类</w:t>
            </w:r>
          </w:p>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（40年）</w:t>
            </w:r>
          </w:p>
        </w:tc>
        <w:tc>
          <w:tcPr>
            <w:tcW w:w="10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办公类</w:t>
            </w:r>
          </w:p>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（40年）</w:t>
            </w:r>
          </w:p>
        </w:tc>
        <w:tc>
          <w:tcPr>
            <w:tcW w:w="108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工业类</w:t>
            </w:r>
          </w:p>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（30年）</w:t>
            </w: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年期</w:t>
            </w:r>
          </w:p>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n</w:t>
            </w:r>
          </w:p>
        </w:tc>
        <w:tc>
          <w:tcPr>
            <w:tcW w:w="110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住宅类</w:t>
            </w:r>
          </w:p>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（70年）</w:t>
            </w:r>
          </w:p>
        </w:tc>
        <w:tc>
          <w:tcPr>
            <w:tcW w:w="11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商业类</w:t>
            </w:r>
          </w:p>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（40年）</w:t>
            </w:r>
          </w:p>
        </w:tc>
        <w:tc>
          <w:tcPr>
            <w:tcW w:w="10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办公类</w:t>
            </w:r>
          </w:p>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（40年）</w:t>
            </w:r>
          </w:p>
        </w:tc>
        <w:tc>
          <w:tcPr>
            <w:tcW w:w="106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工业类</w:t>
            </w:r>
          </w:p>
          <w:p>
            <w:pPr>
              <w:keepNext w:val="0"/>
              <w:keepLines w:val="0"/>
              <w:widowControl/>
              <w:suppressLineNumbers w:val="0"/>
              <w:snapToGrid w:val="0"/>
              <w:spacing w:before="0" w:beforeAutospacing="0" w:after="0" w:afterAutospacing="0" w:line="360" w:lineRule="exact"/>
              <w:ind w:left="0" w:right="0"/>
              <w:jc w:val="center"/>
              <w:rPr>
                <w:rFonts w:hint="eastAsia" w:ascii="仿宋_GB2312" w:hAnsi="仿宋_GB2312" w:eastAsia="仿宋_GB2312" w:cs="仿宋_GB2312"/>
                <w:b/>
                <w:w w:val="90"/>
                <w:kern w:val="0"/>
                <w:sz w:val="24"/>
                <w:szCs w:val="24"/>
              </w:rPr>
            </w:pPr>
            <w:r>
              <w:rPr>
                <w:rFonts w:hint="eastAsia" w:ascii="仿宋_GB2312" w:hAnsi="仿宋_GB2312" w:eastAsia="仿宋_GB2312" w:cs="仿宋_GB2312"/>
                <w:b/>
                <w:w w:val="90"/>
                <w:kern w:val="0"/>
                <w:sz w:val="24"/>
                <w:szCs w:val="24"/>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738" w:type="dxa"/>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1</w:t>
            </w:r>
          </w:p>
        </w:tc>
        <w:tc>
          <w:tcPr>
            <w:tcW w:w="1035" w:type="dxa"/>
            <w:tcBorders>
              <w:top w:val="single" w:color="auto"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0.0492</w:t>
            </w:r>
          </w:p>
        </w:tc>
        <w:tc>
          <w:tcPr>
            <w:tcW w:w="1048" w:type="dxa"/>
            <w:tcBorders>
              <w:top w:val="single" w:color="auto"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0.0627 </w:t>
            </w:r>
          </w:p>
        </w:tc>
        <w:tc>
          <w:tcPr>
            <w:tcW w:w="1034" w:type="dxa"/>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0.0591</w:t>
            </w:r>
          </w:p>
        </w:tc>
        <w:tc>
          <w:tcPr>
            <w:tcW w:w="1083" w:type="dxa"/>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0.0620</w:t>
            </w:r>
          </w:p>
        </w:tc>
        <w:tc>
          <w:tcPr>
            <w:tcW w:w="719" w:type="dxa"/>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36</w:t>
            </w:r>
          </w:p>
        </w:tc>
        <w:tc>
          <w:tcPr>
            <w:tcW w:w="1107" w:type="dxa"/>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0.8555</w:t>
            </w:r>
          </w:p>
        </w:tc>
        <w:tc>
          <w:tcPr>
            <w:tcW w:w="1137" w:type="dxa"/>
            <w:tcBorders>
              <w:top w:val="single" w:color="auto"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0.9717 </w:t>
            </w:r>
          </w:p>
        </w:tc>
        <w:tc>
          <w:tcPr>
            <w:tcW w:w="1023" w:type="dxa"/>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0.9682</w:t>
            </w:r>
          </w:p>
        </w:tc>
        <w:tc>
          <w:tcPr>
            <w:tcW w:w="1060" w:type="dxa"/>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1.0764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2</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0.0961</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0.1219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0.1151</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0.1210</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37</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0.8640</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0.9794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0.9768</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1.0871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3</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0.1408</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0.1777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0.1681</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0.1772</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38</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0.8721</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0.9867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0.9850</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1.0973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4</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0.1833</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0.2303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0.2184</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0.2307</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39</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0.8798</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0.9935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0.9927</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5</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0.2238</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0.2800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0.2661</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0.2816</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40</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0.8871</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1.0000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1.0000</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6</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0.2624</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0.3268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0.3113</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0.3302</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41</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0.8941</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1.0061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1.0069</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7</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0.2992</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0.3710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0.3542</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0.3764</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42</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0.9008</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1.0118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1.0135</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1.1334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8</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0.3341</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0.4127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0.3948</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0.4204</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43</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0.9071</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1.0173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1.0197</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9</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0.3675</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0.4521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0.4333</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0.4624</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44</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0.9132</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1.0224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1.0257</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10</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0.3992</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0.4892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0.4697</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0.5023</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45</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0.9189</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1.0272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1.0313</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1.1562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11</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0.4294</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0.5242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0.5043</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0.5403</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46</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0.9244</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1.0318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1.0366</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1.1631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12</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0.4582</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0.5572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0.5371</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0.5766</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47</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0.9296</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1.0361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1.0416</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1.1697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13</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0.4856</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0.5884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0.5682</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0.6111</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48</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0.9346</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1.0401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1.0464</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1.1759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14</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0.5118</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0.6178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0.5976</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0.6439</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49</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0.9393</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1.0439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1.0509</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1.1819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15</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0.5366</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0.6455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0.6255</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0.6752</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50</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0.9438</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1.0476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1.0552</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1.1876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16</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0.5603</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0.6717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0.6520</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0.7050</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51</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0.9481</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1.0510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1.0592</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1.1930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17</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0.5829</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0.6963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0.6771</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0.7334</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52</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0.9522</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1.0542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1.0631</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1.1981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18</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0.6043</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0.7196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0.7009</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0.7604</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53</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0.9561</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1.0572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1.0667</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19</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0.6248</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0.7416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0.7234</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0.7862</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54</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0.9598</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1.0601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1.0702</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1.2077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20</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0.6443</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0.7623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0.7448</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0.8107</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55</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0.9633</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1.0628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1.0735</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21</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0.6628</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0.7819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0.7650</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0.8340</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56</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0.9667</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1.0653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1.0766</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22</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0.6805</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0.8003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0.7842</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0.8563</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57</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0.9699</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1.0677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1.0795</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23</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0.6973</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0.8177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0.8024</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0.8775</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58</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0.9730</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1.0700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1.0823</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1.2242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24</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0.7134</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0.8341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0.8196</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0.8976</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59</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0.9759</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1.0721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1.0850</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1.2279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25</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0.7286</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0.8496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0.8360</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0.9168</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60</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0.9786</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1.0741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1.0875</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26</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0.7432</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0.8642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0.8515</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0.9351</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61</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0.9813</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1.0760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1.0899</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1.2347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27</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0.7570</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0.8780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0.8661</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0.9526</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62</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0.9838</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1.0778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1.0921</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1.2379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28</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0.7702</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0.8910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0.8801</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0.9691</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63</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0.9862</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1.0795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1.0942</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29</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0.7828</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0.9033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0.8932</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0.9849</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64</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0.9884</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1.0811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1.0963</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1.2437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30</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0.7947</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0.9148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0.9057</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1.0000</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65</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0.9906</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1.0826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1.0982</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1.2465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31</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0.8061</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0.9257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0.9176</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1.0143</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66</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0.9927</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1.0840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1.1000</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1.2491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32</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0.8170</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0.9360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0.9288</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1.0280</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67</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0.9946</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1.0854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1.1017</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1.2515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33</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0.8273</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0.9458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0.9395</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1.0410</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68</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0.9965</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1.0866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1.1034</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1.2539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34</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0.8372</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0.9549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0.9496</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1.0534</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69</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0.9983</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1.0878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1.1049</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1.2561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35</w:t>
            </w:r>
          </w:p>
        </w:tc>
        <w:tc>
          <w:tcPr>
            <w:tcW w:w="1035"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sz w:val="24"/>
                <w:szCs w:val="24"/>
              </w:rPr>
              <w:t>0.8465</w:t>
            </w:r>
          </w:p>
        </w:tc>
        <w:tc>
          <w:tcPr>
            <w:tcW w:w="1048"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0.9636 </w:t>
            </w:r>
          </w:p>
        </w:tc>
        <w:tc>
          <w:tcPr>
            <w:tcW w:w="103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0.9591</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1.0652</w:t>
            </w:r>
          </w:p>
        </w:tc>
        <w:tc>
          <w:tcPr>
            <w:tcW w:w="71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w w:val="90"/>
                <w:kern w:val="24"/>
                <w:sz w:val="24"/>
                <w:szCs w:val="24"/>
              </w:rPr>
              <w:t>70</w:t>
            </w:r>
          </w:p>
        </w:tc>
        <w:tc>
          <w:tcPr>
            <w:tcW w:w="110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1.0000</w:t>
            </w:r>
          </w:p>
        </w:tc>
        <w:tc>
          <w:tcPr>
            <w:tcW w:w="1137" w:type="dxa"/>
            <w:tcBorders>
              <w:top w:val="single" w:color="000000" w:sz="4" w:space="0"/>
              <w:left w:val="single" w:color="000000" w:sz="4" w:space="0"/>
              <w:bottom w:val="single" w:color="000000" w:sz="4" w:space="0"/>
              <w:right w:val="single" w:color="000000" w:sz="4" w:space="0"/>
            </w:tcBorders>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 xml:space="preserve">1.0889 </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1.1064</w:t>
            </w:r>
          </w:p>
        </w:tc>
        <w:tc>
          <w:tcPr>
            <w:tcW w:w="10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w w:val="90"/>
                <w:kern w:val="24"/>
                <w:sz w:val="24"/>
                <w:szCs w:val="24"/>
              </w:rPr>
            </w:pPr>
            <w:r>
              <w:rPr>
                <w:rFonts w:hint="eastAsia" w:ascii="仿宋_GB2312" w:hAnsi="仿宋_GB2312" w:eastAsia="仿宋_GB2312" w:cs="仿宋_GB2312"/>
                <w:kern w:val="0"/>
                <w:sz w:val="24"/>
                <w:szCs w:val="24"/>
              </w:rPr>
              <w:t>1.2583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 w:hRule="atLeast"/>
          <w:jc w:val="center"/>
        </w:trPr>
        <w:tc>
          <w:tcPr>
            <w:tcW w:w="9984"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上述土地使用年期修正系数公式为：K=[1-1/(1+r)</w:t>
            </w:r>
            <w:r>
              <w:rPr>
                <w:rFonts w:hint="eastAsia" w:ascii="仿宋_GB2312" w:hAnsi="仿宋_GB2312" w:eastAsia="仿宋_GB2312" w:cs="仿宋_GB2312"/>
                <w:sz w:val="24"/>
                <w:szCs w:val="24"/>
                <w:vertAlign w:val="superscript"/>
              </w:rPr>
              <w:t>m</w:t>
            </w:r>
            <w:r>
              <w:rPr>
                <w:rFonts w:hint="eastAsia" w:ascii="仿宋_GB2312" w:hAnsi="仿宋_GB2312" w:eastAsia="仿宋_GB2312" w:cs="仿宋_GB2312"/>
                <w:sz w:val="24"/>
                <w:szCs w:val="24"/>
              </w:rPr>
              <w:t>]/[1-1/(1+r)</w:t>
            </w:r>
            <w:r>
              <w:rPr>
                <w:rFonts w:hint="eastAsia" w:ascii="仿宋_GB2312" w:hAnsi="仿宋_GB2312" w:eastAsia="仿宋_GB2312" w:cs="仿宋_GB2312"/>
                <w:sz w:val="24"/>
                <w:szCs w:val="24"/>
                <w:vertAlign w:val="superscript"/>
              </w:rPr>
              <w:t>n</w:t>
            </w:r>
            <w:r>
              <w:rPr>
                <w:rFonts w:hint="eastAsia" w:ascii="仿宋_GB2312" w:hAnsi="仿宋_GB2312" w:eastAsia="仿宋_GB2312" w:cs="仿宋_GB2312"/>
                <w:sz w:val="24"/>
                <w:szCs w:val="24"/>
              </w:rPr>
              <w:t>] ，公式中：r表示土地还原率，住宅、商业、办公、工业分别取值5%、6%、5.5%、5%；m表示剩余年期；n表示土地使用年限，住宅、商业、办公、工业分别取值70年、40年、40年、30年。</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宗地地价测算中土地使用年期的计算从地价测算时点起至土地使用期满时点为止，不足1年的按1年计。</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3．已出让用地需测算原合同剩余年期地价的，按照原已缴纳地价扣减已实际使用年期对应的地价进行测算，即土地剩余年期地价 = 原已缴纳地价 ×（1－已实际使用年期对应的土地使用年期修正系数）。其中，已实际使用年期对应的土地使用年期修正系数=土地已使用年期的年期修正系数÷土地出让总年期的年期修正系数，已使用年期和土地出让总年期对应的土地使用年期修正系数按照本表确定。</w:t>
            </w:r>
          </w:p>
        </w:tc>
      </w:tr>
    </w:tbl>
    <w:p/>
    <w:p>
      <w:pPr>
        <w:spacing w:line="579"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附表3  产权条件修正系数表</w:t>
      </w:r>
    </w:p>
    <w:tbl>
      <w:tblPr>
        <w:tblStyle w:val="9"/>
        <w:tblW w:w="1000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3253"/>
        <w:gridCol w:w="1021"/>
        <w:gridCol w:w="3562"/>
        <w:gridCol w:w="1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2" w:hRule="atLeast"/>
          <w:jc w:val="center"/>
        </w:trPr>
        <w:tc>
          <w:tcPr>
            <w:tcW w:w="904" w:type="dxa"/>
            <w:tcBorders>
              <w:top w:val="single" w:color="auto" w:sz="4" w:space="0"/>
              <w:left w:val="single" w:color="auto" w:sz="4" w:space="0"/>
              <w:bottom w:val="single" w:color="auto" w:sz="4" w:space="0"/>
              <w:right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3253" w:type="dxa"/>
            <w:tcBorders>
              <w:top w:val="single" w:color="auto" w:sz="4" w:space="0"/>
              <w:bottom w:val="single" w:color="auto" w:sz="4" w:space="0"/>
              <w:right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建筑类型</w:t>
            </w:r>
          </w:p>
        </w:tc>
        <w:tc>
          <w:tcPr>
            <w:tcW w:w="4583" w:type="dxa"/>
            <w:gridSpan w:val="2"/>
            <w:tcBorders>
              <w:top w:val="single" w:color="auto" w:sz="4" w:space="0"/>
              <w:bottom w:val="single" w:color="auto" w:sz="4" w:space="0"/>
              <w:right w:val="nil"/>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产权条件情形</w:t>
            </w:r>
          </w:p>
        </w:tc>
        <w:tc>
          <w:tcPr>
            <w:tcW w:w="1268" w:type="dxa"/>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修正</w:t>
            </w:r>
          </w:p>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6" w:hRule="atLeast"/>
          <w:jc w:val="center"/>
        </w:trPr>
        <w:tc>
          <w:tcPr>
            <w:tcW w:w="904" w:type="dxa"/>
            <w:vMerge w:val="restart"/>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253" w:type="dxa"/>
            <w:vMerge w:val="restart"/>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表1中的建筑类型1-3</w:t>
            </w:r>
          </w:p>
        </w:tc>
        <w:tc>
          <w:tcPr>
            <w:tcW w:w="4583" w:type="dxa"/>
            <w:gridSpan w:val="2"/>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不得转让</w:t>
            </w:r>
          </w:p>
        </w:tc>
        <w:tc>
          <w:tcPr>
            <w:tcW w:w="1268"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32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限整体转让</w:t>
            </w:r>
          </w:p>
        </w:tc>
        <w:tc>
          <w:tcPr>
            <w:tcW w:w="1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32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允许分割转让</w:t>
            </w:r>
          </w:p>
        </w:tc>
        <w:tc>
          <w:tcPr>
            <w:tcW w:w="126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25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表1中的建筑类型4</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不得转让</w:t>
            </w:r>
          </w:p>
        </w:tc>
        <w:tc>
          <w:tcPr>
            <w:tcW w:w="126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见备注1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32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限整体转让</w:t>
            </w: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32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允许分割转让</w:t>
            </w: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9"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25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表1中的建筑类型5</w:t>
            </w:r>
          </w:p>
        </w:tc>
        <w:tc>
          <w:tcPr>
            <w:tcW w:w="102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不得</w:t>
            </w:r>
          </w:p>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转让</w:t>
            </w:r>
          </w:p>
        </w:tc>
        <w:tc>
          <w:tcPr>
            <w:tcW w:w="3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公共租赁住房、安居型商品房、人才住房</w:t>
            </w:r>
          </w:p>
        </w:tc>
        <w:tc>
          <w:tcPr>
            <w:tcW w:w="1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9"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32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356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其他（除公共租赁住房、安居型商品房、人才住房外）</w:t>
            </w:r>
          </w:p>
        </w:tc>
        <w:tc>
          <w:tcPr>
            <w:tcW w:w="1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2"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32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限整体转让</w:t>
            </w:r>
          </w:p>
        </w:tc>
        <w:tc>
          <w:tcPr>
            <w:tcW w:w="1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32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允许分割转让</w:t>
            </w:r>
          </w:p>
        </w:tc>
        <w:tc>
          <w:tcPr>
            <w:tcW w:w="1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325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表1中的建筑类型6-12</w:t>
            </w: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不得转让</w:t>
            </w:r>
          </w:p>
        </w:tc>
        <w:tc>
          <w:tcPr>
            <w:tcW w:w="1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32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限整体转让</w:t>
            </w:r>
          </w:p>
        </w:tc>
        <w:tc>
          <w:tcPr>
            <w:tcW w:w="1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3"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325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szCs w:val="24"/>
              </w:rPr>
            </w:pPr>
          </w:p>
        </w:tc>
        <w:tc>
          <w:tcPr>
            <w:tcW w:w="45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允许分割转让</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7"/>
              <w:keepNext w:val="0"/>
              <w:keepLines w:val="0"/>
              <w:suppressLineNumbers w:val="0"/>
              <w:spacing w:before="0" w:beforeAutospacing="0" w:after="0" w:afterAutospacing="0" w:line="300" w:lineRule="exact"/>
              <w:ind w:left="0" w:right="0"/>
              <w:jc w:val="center"/>
              <w:rPr>
                <w:rFonts w:hint="eastAsia" w:ascii="仿宋_GB2312" w:hAnsi="仿宋_GB2312" w:eastAsia="仿宋_GB2312" w:cs="仿宋_GB2312"/>
              </w:rPr>
            </w:pPr>
            <w:r>
              <w:rPr>
                <w:rFonts w:hint="eastAsia" w:ascii="仿宋_GB2312" w:hAnsi="仿宋_GB2312" w:eastAsia="仿宋_GB2312" w:cs="仿宋_GB231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2" w:hRule="atLeast"/>
          <w:jc w:val="center"/>
        </w:trPr>
        <w:tc>
          <w:tcPr>
            <w:tcW w:w="10008" w:type="dxa"/>
            <w:gridSpan w:val="5"/>
            <w:tcBorders>
              <w:top w:val="single" w:color="000000" w:sz="4" w:space="0"/>
              <w:left w:val="single" w:color="000000" w:sz="4" w:space="0"/>
              <w:bottom w:val="single" w:color="000000" w:sz="4" w:space="0"/>
              <w:right w:val="single" w:color="000000" w:sz="4" w:space="0"/>
            </w:tcBorders>
          </w:tcPr>
          <w:p>
            <w:pPr>
              <w:keepNext w:val="0"/>
              <w:keepLines w:val="0"/>
              <w:widowControl/>
              <w:suppressLineNumbers w:val="0"/>
              <w:spacing w:before="0" w:beforeAutospacing="0" w:after="0" w:afterAutospacing="0" w:line="300" w:lineRule="exact"/>
              <w:ind w:left="0" w:right="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p>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1．附表1中建筑类型4产权修正按照相应产权条件下的厂房及办公建筑类型分别修正。</w:t>
            </w:r>
          </w:p>
          <w:p>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2．产权条件情形依据土地使用权出让方案或供应合同确定。</w:t>
            </w:r>
          </w:p>
          <w:p>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已签订的供应合同中约定或不动产登记记载为“不得转让”、“自用”或“非商品性质”房地产，属于“不得转让”情形；已签订的供应合同中约定或不动产登记记载为“商品性质房地产限整体转让”的，属于“限整体转让”情形；</w:t>
            </w:r>
          </w:p>
          <w:p>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 物业管理用房等共有部分建筑类型，产权条件按不得转让情形测算地价。</w:t>
            </w:r>
          </w:p>
        </w:tc>
      </w:tr>
    </w:tbl>
    <w:p/>
    <w:p>
      <w:pPr>
        <w:spacing w:line="579"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附表4  产业发展导向修正系数表</w:t>
      </w:r>
    </w:p>
    <w:tbl>
      <w:tblPr>
        <w:tblStyle w:val="9"/>
        <w:tblW w:w="9636" w:type="dxa"/>
        <w:jc w:val="center"/>
        <w:tblInd w:w="0" w:type="dxa"/>
        <w:tblLayout w:type="fixed"/>
        <w:tblCellMar>
          <w:top w:w="0" w:type="dxa"/>
          <w:left w:w="108" w:type="dxa"/>
          <w:bottom w:w="0" w:type="dxa"/>
          <w:right w:w="108" w:type="dxa"/>
        </w:tblCellMar>
      </w:tblPr>
      <w:tblGrid>
        <w:gridCol w:w="972"/>
        <w:gridCol w:w="7223"/>
        <w:gridCol w:w="1441"/>
      </w:tblGrid>
      <w:tr>
        <w:tblPrEx>
          <w:tblLayout w:type="fixed"/>
          <w:tblCellMar>
            <w:top w:w="0" w:type="dxa"/>
            <w:left w:w="108" w:type="dxa"/>
            <w:bottom w:w="0" w:type="dxa"/>
            <w:right w:w="108" w:type="dxa"/>
          </w:tblCellMar>
        </w:tblPrEx>
        <w:trPr>
          <w:trHeight w:val="422" w:hRule="atLeast"/>
          <w:jc w:val="center"/>
        </w:trPr>
        <w:tc>
          <w:tcPr>
            <w:tcW w:w="972"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72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产业分类</w:t>
            </w:r>
          </w:p>
        </w:tc>
        <w:tc>
          <w:tcPr>
            <w:tcW w:w="1441" w:type="dxa"/>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修正系数</w:t>
            </w:r>
          </w:p>
        </w:tc>
      </w:tr>
      <w:tr>
        <w:tblPrEx>
          <w:tblLayout w:type="fixed"/>
          <w:tblCellMar>
            <w:top w:w="0" w:type="dxa"/>
            <w:left w:w="108" w:type="dxa"/>
            <w:bottom w:w="0" w:type="dxa"/>
            <w:right w:w="108" w:type="dxa"/>
          </w:tblCellMar>
        </w:tblPrEx>
        <w:trPr>
          <w:trHeight w:val="688" w:hRule="atLeast"/>
          <w:jc w:val="center"/>
        </w:trPr>
        <w:tc>
          <w:tcPr>
            <w:tcW w:w="972" w:type="dxa"/>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1</w:t>
            </w:r>
          </w:p>
        </w:tc>
        <w:tc>
          <w:tcPr>
            <w:tcW w:w="7223"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line="360" w:lineRule="exact"/>
              <w:ind w:left="0" w:right="0"/>
              <w:rPr>
                <w:rFonts w:hint="eastAsia" w:ascii="仿宋_GB2312" w:hAnsi="仿宋_GB2312" w:eastAsia="仿宋_GB2312" w:cs="仿宋_GB2312"/>
                <w:b/>
                <w:bCs/>
                <w:kern w:val="0"/>
                <w:sz w:val="24"/>
                <w:szCs w:val="24"/>
              </w:rPr>
            </w:pPr>
            <w:r>
              <w:rPr>
                <w:rFonts w:hint="eastAsia" w:ascii="仿宋_GB2312" w:hAnsi="仿宋_GB2312" w:eastAsia="仿宋_GB2312" w:cs="仿宋_GB2312"/>
                <w:bCs/>
                <w:kern w:val="0"/>
                <w:sz w:val="24"/>
                <w:szCs w:val="24"/>
              </w:rPr>
              <w:t>战略性新兴产业（新一代信息技术、高端装备制造、绿色低碳、生物医药、数字经济、新材料、海洋经济等）、</w:t>
            </w:r>
            <w:r>
              <w:rPr>
                <w:rFonts w:hint="eastAsia" w:ascii="仿宋_GB2312" w:hAnsi="仿宋_GB2312" w:eastAsia="仿宋_GB2312" w:cs="仿宋_GB2312"/>
                <w:kern w:val="0"/>
                <w:sz w:val="24"/>
                <w:szCs w:val="24"/>
              </w:rPr>
              <w:t>优势传统产业、生产性现代服务业</w:t>
            </w:r>
          </w:p>
        </w:tc>
        <w:tc>
          <w:tcPr>
            <w:tcW w:w="1441" w:type="dxa"/>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0.5</w:t>
            </w:r>
          </w:p>
        </w:tc>
      </w:tr>
      <w:tr>
        <w:tblPrEx>
          <w:tblLayout w:type="fixed"/>
          <w:tblCellMar>
            <w:top w:w="0" w:type="dxa"/>
            <w:left w:w="108" w:type="dxa"/>
            <w:bottom w:w="0" w:type="dxa"/>
            <w:right w:w="108" w:type="dxa"/>
          </w:tblCellMar>
        </w:tblPrEx>
        <w:trPr>
          <w:trHeight w:val="27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722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除上述类别以外的其他产业</w:t>
            </w:r>
          </w:p>
        </w:tc>
        <w:tc>
          <w:tcPr>
            <w:tcW w:w="144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Layout w:type="fixed"/>
          <w:tblCellMar>
            <w:top w:w="0" w:type="dxa"/>
            <w:left w:w="108" w:type="dxa"/>
            <w:bottom w:w="0" w:type="dxa"/>
            <w:right w:w="108" w:type="dxa"/>
          </w:tblCellMar>
        </w:tblPrEx>
        <w:trPr>
          <w:trHeight w:val="591" w:hRule="atLeast"/>
          <w:jc w:val="center"/>
        </w:trPr>
        <w:tc>
          <w:tcPr>
            <w:tcW w:w="9636" w:type="dxa"/>
            <w:gridSpan w:val="3"/>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p>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1．修正对象为除配套商业以外的建筑类型。产业分类及认定以相关部门出具的产业分类证明文件为准。</w:t>
            </w:r>
          </w:p>
          <w:p>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2．产业用地出让时的地价有适用产业发展导向修正系数的,在竣工超面积测算应补缴的地价时，适用产业发展导向修正系数。</w:t>
            </w:r>
          </w:p>
          <w:p>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3．协议出让给市政府确定的投资主体建设只租不售的创新型产业用房，产业监管协议或供应合同中约定的出租对象符合本表序号1情形的，适用产业发展导向修正系数。</w:t>
            </w:r>
          </w:p>
          <w:p>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 本表不适用于城市更新项目、留用土地项目、棚户区改造项目。</w:t>
            </w:r>
          </w:p>
        </w:tc>
      </w:tr>
    </w:tbl>
    <w:p/>
    <w:p>
      <w:pPr>
        <w:spacing w:line="579"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附表5  产业项目类型修正系数表</w:t>
      </w:r>
    </w:p>
    <w:tbl>
      <w:tblPr>
        <w:tblStyle w:val="9"/>
        <w:tblW w:w="9600" w:type="dxa"/>
        <w:jc w:val="center"/>
        <w:tblInd w:w="0" w:type="dxa"/>
        <w:tblLayout w:type="fixed"/>
        <w:tblCellMar>
          <w:top w:w="0" w:type="dxa"/>
          <w:left w:w="108" w:type="dxa"/>
          <w:bottom w:w="0" w:type="dxa"/>
          <w:right w:w="108" w:type="dxa"/>
        </w:tblCellMar>
      </w:tblPr>
      <w:tblGrid>
        <w:gridCol w:w="1038"/>
        <w:gridCol w:w="1703"/>
        <w:gridCol w:w="5450"/>
        <w:gridCol w:w="1409"/>
      </w:tblGrid>
      <w:tr>
        <w:tblPrEx>
          <w:tblLayout w:type="fixed"/>
          <w:tblCellMar>
            <w:top w:w="0" w:type="dxa"/>
            <w:left w:w="108" w:type="dxa"/>
            <w:bottom w:w="0" w:type="dxa"/>
            <w:right w:w="108" w:type="dxa"/>
          </w:tblCellMar>
        </w:tblPrEx>
        <w:trPr>
          <w:trHeight w:val="422" w:hRule="atLeast"/>
          <w:jc w:val="center"/>
        </w:trPr>
        <w:tc>
          <w:tcPr>
            <w:tcW w:w="1038"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71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产业项目类型</w:t>
            </w:r>
          </w:p>
        </w:tc>
        <w:tc>
          <w:tcPr>
            <w:tcW w:w="1409" w:type="dxa"/>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修正系数</w:t>
            </w:r>
          </w:p>
        </w:tc>
      </w:tr>
      <w:tr>
        <w:tblPrEx>
          <w:tblLayout w:type="fixed"/>
          <w:tblCellMar>
            <w:top w:w="0" w:type="dxa"/>
            <w:left w:w="108" w:type="dxa"/>
            <w:bottom w:w="0" w:type="dxa"/>
            <w:right w:w="108" w:type="dxa"/>
          </w:tblCellMar>
        </w:tblPrEx>
        <w:trPr>
          <w:trHeight w:val="75" w:hRule="atLeast"/>
          <w:jc w:val="center"/>
        </w:trPr>
        <w:tc>
          <w:tcPr>
            <w:tcW w:w="1038"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kern w:val="0"/>
                <w:sz w:val="24"/>
                <w:szCs w:val="24"/>
              </w:rPr>
              <w:t>1</w:t>
            </w:r>
          </w:p>
        </w:tc>
        <w:tc>
          <w:tcPr>
            <w:tcW w:w="1703" w:type="dxa"/>
            <w:vMerge w:val="restart"/>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line="360" w:lineRule="exact"/>
              <w:ind w:left="0" w:right="0"/>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重点产业项目</w:t>
            </w:r>
          </w:p>
        </w:tc>
        <w:tc>
          <w:tcPr>
            <w:tcW w:w="5450"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line="360" w:lineRule="exact"/>
              <w:ind w:left="0" w:right="0"/>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遴选方案确定有两个及两个以上意向用地单位联合申请的</w:t>
            </w:r>
          </w:p>
        </w:tc>
        <w:tc>
          <w:tcPr>
            <w:tcW w:w="1409" w:type="dxa"/>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0.6</w:t>
            </w:r>
          </w:p>
        </w:tc>
      </w:tr>
      <w:tr>
        <w:tblPrEx>
          <w:tblLayout w:type="fixed"/>
          <w:tblCellMar>
            <w:top w:w="0" w:type="dxa"/>
            <w:left w:w="108" w:type="dxa"/>
            <w:bottom w:w="0" w:type="dxa"/>
            <w:right w:w="108" w:type="dxa"/>
          </w:tblCellMar>
        </w:tblPrEx>
        <w:trPr>
          <w:trHeight w:val="65" w:hRule="atLeast"/>
          <w:jc w:val="center"/>
        </w:trPr>
        <w:tc>
          <w:tcPr>
            <w:tcW w:w="103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bCs/>
                <w:kern w:val="0"/>
                <w:sz w:val="24"/>
                <w:szCs w:val="24"/>
              </w:rPr>
            </w:pPr>
          </w:p>
        </w:tc>
        <w:tc>
          <w:tcPr>
            <w:tcW w:w="1703" w:type="dxa"/>
            <w:vMerge w:val="continue"/>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
                <w:bCs/>
                <w:kern w:val="0"/>
                <w:sz w:val="24"/>
                <w:szCs w:val="24"/>
              </w:rPr>
            </w:pPr>
          </w:p>
        </w:tc>
        <w:tc>
          <w:tcPr>
            <w:tcW w:w="5450"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line="360" w:lineRule="exact"/>
              <w:ind w:left="0" w:right="0"/>
              <w:rPr>
                <w:rFonts w:hint="eastAsia" w:ascii="仿宋_GB2312" w:hAnsi="仿宋_GB2312" w:eastAsia="仿宋_GB2312" w:cs="仿宋_GB2312"/>
                <w:bCs/>
                <w:kern w:val="0"/>
                <w:sz w:val="24"/>
                <w:szCs w:val="24"/>
              </w:rPr>
            </w:pPr>
            <w:r>
              <w:rPr>
                <w:rFonts w:hint="eastAsia" w:ascii="仿宋_GB2312" w:hAnsi="仿宋_GB2312" w:eastAsia="仿宋_GB2312" w:cs="仿宋_GB2312"/>
                <w:kern w:val="0"/>
                <w:sz w:val="24"/>
                <w:szCs w:val="24"/>
              </w:rPr>
              <w:t>遴选方案确定为单一意向用地单位的</w:t>
            </w:r>
          </w:p>
        </w:tc>
        <w:tc>
          <w:tcPr>
            <w:tcW w:w="1409" w:type="dxa"/>
            <w:tcBorders>
              <w:top w:val="single" w:color="auto" w:sz="4" w:space="0"/>
              <w:left w:val="nil"/>
              <w:bottom w:val="nil"/>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0.7</w:t>
            </w:r>
          </w:p>
        </w:tc>
      </w:tr>
      <w:tr>
        <w:tblPrEx>
          <w:tblLayout w:type="fixed"/>
          <w:tblCellMar>
            <w:top w:w="0" w:type="dxa"/>
            <w:left w:w="108" w:type="dxa"/>
            <w:bottom w:w="0" w:type="dxa"/>
            <w:right w:w="108" w:type="dxa"/>
          </w:tblCellMar>
        </w:tblPrEx>
        <w:trPr>
          <w:trHeight w:val="270" w:hRule="atLeast"/>
          <w:jc w:val="center"/>
        </w:trPr>
        <w:tc>
          <w:tcPr>
            <w:tcW w:w="103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kern w:val="0"/>
                <w:sz w:val="24"/>
                <w:szCs w:val="24"/>
              </w:rPr>
            </w:pPr>
          </w:p>
        </w:tc>
        <w:tc>
          <w:tcPr>
            <w:tcW w:w="715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一般产业项目</w:t>
            </w:r>
          </w:p>
        </w:tc>
        <w:tc>
          <w:tcPr>
            <w:tcW w:w="14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Layout w:type="fixed"/>
          <w:tblCellMar>
            <w:top w:w="0" w:type="dxa"/>
            <w:left w:w="108" w:type="dxa"/>
            <w:bottom w:w="0" w:type="dxa"/>
            <w:right w:w="108" w:type="dxa"/>
          </w:tblCellMar>
        </w:tblPrEx>
        <w:trPr>
          <w:trHeight w:val="270"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715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总部项目</w:t>
            </w:r>
          </w:p>
        </w:tc>
        <w:tc>
          <w:tcPr>
            <w:tcW w:w="140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0.7</w:t>
            </w:r>
          </w:p>
        </w:tc>
      </w:tr>
      <w:tr>
        <w:tblPrEx>
          <w:tblLayout w:type="fixed"/>
          <w:tblCellMar>
            <w:top w:w="0" w:type="dxa"/>
            <w:left w:w="108" w:type="dxa"/>
            <w:bottom w:w="0" w:type="dxa"/>
            <w:right w:w="108" w:type="dxa"/>
          </w:tblCellMar>
        </w:tblPrEx>
        <w:trPr>
          <w:trHeight w:val="270" w:hRule="atLeast"/>
          <w:jc w:val="center"/>
        </w:trPr>
        <w:tc>
          <w:tcPr>
            <w:tcW w:w="9600" w:type="dxa"/>
            <w:gridSpan w:val="4"/>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p>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修正对象为除配套商业以外的建筑类型。产业项目类型以《深圳市工业及其他产业用地供应管理办法》（深府规〔2019〕4号）、《深圳市总部项目遴选及用地供应管理办法》（深府规〔2018〕1号）规定为准。总部项目地价缴纳方式参照本规则中重点产业项目执行。</w:t>
            </w:r>
          </w:p>
          <w:p>
            <w:pPr>
              <w:keepNext w:val="0"/>
              <w:keepLines w:val="0"/>
              <w:widowControl/>
              <w:suppressLineNumbers w:val="0"/>
              <w:spacing w:before="0" w:beforeAutospacing="0" w:after="0" w:afterAutospacing="0" w:line="30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2．本表不适用于城市更新项目、留用土地项目、棚户区改造项目。</w:t>
            </w:r>
          </w:p>
        </w:tc>
      </w:tr>
    </w:tbl>
    <w:p>
      <w:pPr>
        <w:spacing w:line="579" w:lineRule="exact"/>
        <w:jc w:val="center"/>
        <w:rPr>
          <w:rFonts w:hint="eastAsia" w:ascii="仿宋_GB2312" w:hAnsi="仿宋_GB2312" w:eastAsia="仿宋_GB2312" w:cs="仿宋_GB2312"/>
          <w:b/>
          <w:bCs/>
          <w:kern w:val="0"/>
          <w:sz w:val="32"/>
          <w:szCs w:val="32"/>
        </w:rPr>
      </w:pPr>
    </w:p>
    <w:p>
      <w:pPr>
        <w:spacing w:line="579" w:lineRule="exact"/>
        <w:jc w:val="center"/>
        <w:rPr>
          <w:rFonts w:hint="eastAsia" w:ascii="仿宋_GB2312" w:hAnsi="仿宋_GB2312" w:eastAsia="仿宋_GB2312" w:cs="仿宋_GB2312"/>
          <w:b/>
          <w:bCs/>
          <w:kern w:val="0"/>
          <w:sz w:val="32"/>
          <w:szCs w:val="32"/>
        </w:rPr>
      </w:pPr>
    </w:p>
    <w:p>
      <w:pPr>
        <w:spacing w:line="579" w:lineRule="exact"/>
        <w:jc w:val="center"/>
        <w:rPr>
          <w:rFonts w:ascii="Times New Roman" w:hAnsi="Times New Roman"/>
          <w:b/>
          <w:bCs/>
          <w:kern w:val="0"/>
          <w:sz w:val="32"/>
          <w:szCs w:val="32"/>
        </w:rPr>
      </w:pPr>
      <w:r>
        <w:rPr>
          <w:rFonts w:hint="eastAsia" w:ascii="仿宋_GB2312" w:hAnsi="仿宋_GB2312" w:eastAsia="仿宋_GB2312" w:cs="仿宋_GB2312"/>
          <w:b/>
          <w:bCs/>
          <w:kern w:val="0"/>
          <w:sz w:val="32"/>
          <w:szCs w:val="32"/>
        </w:rPr>
        <w:t>附表6  地上商业楼层修正系数表</w:t>
      </w:r>
    </w:p>
    <w:tbl>
      <w:tblPr>
        <w:tblStyle w:val="9"/>
        <w:tblW w:w="9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0"/>
        <w:gridCol w:w="3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7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商业楼层</w:t>
            </w:r>
          </w:p>
        </w:tc>
        <w:tc>
          <w:tcPr>
            <w:tcW w:w="37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7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首层商业</w:t>
            </w:r>
          </w:p>
        </w:tc>
        <w:tc>
          <w:tcPr>
            <w:tcW w:w="37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7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第二层商业</w:t>
            </w:r>
          </w:p>
        </w:tc>
        <w:tc>
          <w:tcPr>
            <w:tcW w:w="37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7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第三层商业</w:t>
            </w:r>
          </w:p>
        </w:tc>
        <w:tc>
          <w:tcPr>
            <w:tcW w:w="37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7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第四层及以上商业</w:t>
            </w:r>
          </w:p>
        </w:tc>
        <w:tc>
          <w:tcPr>
            <w:tcW w:w="37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1" w:hRule="atLeast"/>
          <w:jc w:val="center"/>
        </w:trPr>
        <w:tc>
          <w:tcPr>
            <w:tcW w:w="95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pStyle w:val="14"/>
              <w:keepNext w:val="0"/>
              <w:keepLines w:val="0"/>
              <w:suppressLineNumbers w:val="0"/>
              <w:spacing w:before="0" w:beforeAutospacing="0" w:after="0" w:afterAutospacing="0"/>
              <w:ind w:left="0" w:right="0"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对于附表1序号10中的商业（不包括旅馆业建筑、肉菜市场、游乐设施、会议中心）建筑类型，测算地价时地上部分适用商业楼层修正系数。经楼层修正后各楼层楼面单价低于同宗地上办公用途价格的，取办公用途价格测算地价。</w:t>
            </w:r>
          </w:p>
          <w:p>
            <w:pPr>
              <w:pStyle w:val="14"/>
              <w:keepNext w:val="0"/>
              <w:keepLines w:val="0"/>
              <w:suppressLineNumbers w:val="0"/>
              <w:spacing w:before="0" w:beforeAutospacing="0" w:after="0" w:afterAutospacing="0"/>
              <w:ind w:left="0" w:right="0" w:firstLine="0" w:firstLineChars="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在完成竣工验收后，或竣工验收前（含竣工超面积测算补缴地价情形）但规划许可文件或供应合同中已明确约定商业楼层和相应建筑面积的，按照相关文件中明确的商业楼层和相应建筑面积测算地价；其余情形的商业楼层和相应建筑面积按照宗地面积和建筑覆盖率等条件计算。</w:t>
            </w:r>
          </w:p>
          <w:p>
            <w:pPr>
              <w:pStyle w:val="14"/>
              <w:keepNext w:val="0"/>
              <w:keepLines w:val="0"/>
              <w:suppressLineNumbers w:val="0"/>
              <w:spacing w:before="0" w:beforeAutospacing="0" w:after="0" w:afterAutospacing="0"/>
              <w:ind w:left="0" w:right="0" w:firstLine="0" w:firstLineChars="0"/>
              <w:rPr>
                <w:rStyle w:val="12"/>
                <w:rFonts w:hint="default" w:eastAsia="仿宋_GB2312" w:asciiTheme="minorHAnsi" w:hAnsiTheme="minorHAnsi" w:cstheme="minorBidi"/>
                <w:i/>
                <w:lang w:val="en-US" w:eastAsia="zh-CN"/>
              </w:rPr>
            </w:pPr>
            <w:r>
              <w:rPr>
                <w:rFonts w:hint="eastAsia" w:ascii="仿宋_GB2312" w:hAnsi="仿宋_GB2312" w:eastAsia="仿宋_GB2312" w:cs="仿宋_GB2312"/>
                <w:kern w:val="0"/>
                <w:sz w:val="24"/>
                <w:szCs w:val="24"/>
                <w:lang w:val="en-US" w:eastAsia="zh-CN" w:bidi="ar-SA"/>
              </w:rPr>
              <w:t>3.按照宗地面积和建筑覆盖率等条件计算各楼层商业面积时，宗地面积应扣除规划许可文件或供应合同中明确需要独立占地建设的学校等配套设施；规划许可文件或供应合同中明确需要设置在首层或其他具体楼层的配套设施，可在对应的商业楼层面积中扣除。满足上述规定后，各楼层商业面积按照逐层依次向上填充的规则确定。</w:t>
            </w:r>
          </w:p>
        </w:tc>
      </w:tr>
    </w:tbl>
    <w:p>
      <w:pPr>
        <w:spacing w:line="579" w:lineRule="exact"/>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附表7  地下空间修正系数表</w:t>
      </w:r>
    </w:p>
    <w:tbl>
      <w:tblPr>
        <w:tblStyle w:val="9"/>
        <w:tblW w:w="9543"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7039"/>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kern w:val="0"/>
                <w:sz w:val="24"/>
                <w:szCs w:val="24"/>
              </w:rPr>
              <w:t>序号</w:t>
            </w:r>
          </w:p>
        </w:tc>
        <w:tc>
          <w:tcPr>
            <w:tcW w:w="70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kern w:val="0"/>
                <w:sz w:val="24"/>
                <w:szCs w:val="24"/>
              </w:rPr>
              <w:t>分类</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kern w:val="0"/>
                <w:sz w:val="24"/>
                <w:szCs w:val="24"/>
              </w:rPr>
              <w:t>修正系数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1</w:t>
            </w:r>
          </w:p>
        </w:tc>
        <w:tc>
          <w:tcPr>
            <w:tcW w:w="70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交通设施（不含加油站、加气站、训考场、社会停车场（库）），综合管廊</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2</w:t>
            </w:r>
          </w:p>
        </w:tc>
        <w:tc>
          <w:tcPr>
            <w:tcW w:w="70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除上述类别以外的其他地下空间</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4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1．地下商业空间按照地上首层商业对应的土地市场价格标准以本表修正系数予以修正。</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供应合同对建设在地下的建筑面积未约定或约定不明的，但实际建设在地下的建筑面积部分，在地价测算时原则上不适用地下空间修正系数。但竣工验收超面积且超建在地下的建筑面积部分，经处理且规划确认保留的，测算应补缴的地价时可适用地下空间修正系数。</w:t>
            </w:r>
          </w:p>
        </w:tc>
      </w:tr>
    </w:tbl>
    <w:p>
      <w:pPr>
        <w:spacing w:line="579" w:lineRule="exact"/>
        <w:ind w:firstLine="1446" w:firstLineChars="450"/>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附表8  棚户区改造项目修正系数表</w:t>
      </w:r>
    </w:p>
    <w:tbl>
      <w:tblPr>
        <w:tblStyle w:val="9"/>
        <w:tblW w:w="9431" w:type="dxa"/>
        <w:tblInd w:w="-534" w:type="dxa"/>
        <w:tblLayout w:type="fixed"/>
        <w:tblCellMar>
          <w:top w:w="0" w:type="dxa"/>
          <w:left w:w="108" w:type="dxa"/>
          <w:bottom w:w="0" w:type="dxa"/>
          <w:right w:w="108" w:type="dxa"/>
        </w:tblCellMar>
      </w:tblPr>
      <w:tblGrid>
        <w:gridCol w:w="2060"/>
        <w:gridCol w:w="1843"/>
        <w:gridCol w:w="1559"/>
        <w:gridCol w:w="1984"/>
        <w:gridCol w:w="1985"/>
      </w:tblGrid>
      <w:tr>
        <w:tblPrEx>
          <w:tblLayout w:type="fixed"/>
          <w:tblCellMar>
            <w:top w:w="0" w:type="dxa"/>
            <w:left w:w="108" w:type="dxa"/>
            <w:bottom w:w="0" w:type="dxa"/>
            <w:right w:w="108" w:type="dxa"/>
          </w:tblCellMar>
        </w:tblPrEx>
        <w:trPr>
          <w:trHeight w:val="450" w:hRule="atLeast"/>
        </w:trPr>
        <w:tc>
          <w:tcPr>
            <w:tcW w:w="20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类型</w:t>
            </w:r>
          </w:p>
        </w:tc>
        <w:tc>
          <w:tcPr>
            <w:tcW w:w="184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适用住宅地价修正系数</w:t>
            </w:r>
          </w:p>
        </w:tc>
        <w:tc>
          <w:tcPr>
            <w:tcW w:w="155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适用商业地价修正系数</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适用办公地价修正系数</w:t>
            </w:r>
          </w:p>
        </w:tc>
        <w:tc>
          <w:tcPr>
            <w:tcW w:w="1985"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适用工业地价修正系数</w:t>
            </w:r>
          </w:p>
        </w:tc>
      </w:tr>
      <w:tr>
        <w:tblPrEx>
          <w:tblLayout w:type="fixed"/>
          <w:tblCellMar>
            <w:top w:w="0" w:type="dxa"/>
            <w:left w:w="108" w:type="dxa"/>
            <w:bottom w:w="0" w:type="dxa"/>
            <w:right w:w="108" w:type="dxa"/>
          </w:tblCellMar>
        </w:tblPrEx>
        <w:trPr>
          <w:trHeight w:val="513" w:hRule="atLeast"/>
        </w:trPr>
        <w:tc>
          <w:tcPr>
            <w:tcW w:w="20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棚户区改造项目</w:t>
            </w:r>
          </w:p>
        </w:tc>
        <w:tc>
          <w:tcPr>
            <w:tcW w:w="18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w:t>
            </w:r>
          </w:p>
        </w:tc>
        <w:tc>
          <w:tcPr>
            <w:tcW w:w="155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0.18</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0.15</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0.15</w:t>
            </w:r>
          </w:p>
        </w:tc>
      </w:tr>
      <w:tr>
        <w:tblPrEx>
          <w:tblLayout w:type="fixed"/>
          <w:tblCellMar>
            <w:top w:w="0" w:type="dxa"/>
            <w:left w:w="108" w:type="dxa"/>
            <w:bottom w:w="0" w:type="dxa"/>
            <w:right w:w="108" w:type="dxa"/>
          </w:tblCellMar>
        </w:tblPrEx>
        <w:trPr>
          <w:trHeight w:val="513" w:hRule="atLeast"/>
        </w:trPr>
        <w:tc>
          <w:tcPr>
            <w:tcW w:w="9431" w:type="dxa"/>
            <w:gridSpan w:val="5"/>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备</w:t>
            </w:r>
            <w:r>
              <w:rPr>
                <w:rFonts w:hint="eastAsia" w:ascii="仿宋_GB2312" w:hAnsi="仿宋_GB2312" w:eastAsia="仿宋_GB2312" w:cs="仿宋_GB2312"/>
                <w:kern w:val="0"/>
                <w:sz w:val="24"/>
                <w:szCs w:val="24"/>
              </w:rPr>
              <w:t>注：</w:t>
            </w:r>
          </w:p>
          <w:p>
            <w:pPr>
              <w:keepNext w:val="0"/>
              <w:keepLines w:val="0"/>
              <w:widowControl/>
              <w:suppressLineNumbers w:val="0"/>
              <w:spacing w:before="0" w:beforeAutospacing="0" w:after="0" w:afterAutospacing="0" w:line="360" w:lineRule="exact"/>
              <w:ind w:left="0" w:right="0" w:firstLine="480"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kern w:val="0"/>
                <w:sz w:val="24"/>
                <w:szCs w:val="24"/>
              </w:rPr>
              <w:t>棚户区改造项目修正系数按照拆除重建类城市更新项目修正系数表中“国有已批居住、商业服务业用地改造为居住、商业服务业用地”项目修正系数执行。</w:t>
            </w:r>
          </w:p>
        </w:tc>
      </w:tr>
    </w:tbl>
    <w:p>
      <w:pPr>
        <w:widowControl/>
        <w:spacing w:line="579" w:lineRule="exact"/>
        <w:ind w:right="42" w:rightChars="20"/>
        <w:jc w:val="center"/>
        <w:rPr>
          <w:rFonts w:ascii="宋体" w:hAnsi="宋体" w:cs="宋体"/>
          <w:b/>
          <w:kern w:val="0"/>
          <w:sz w:val="32"/>
          <w:szCs w:val="32"/>
        </w:rPr>
      </w:pPr>
      <w:r>
        <w:rPr>
          <w:rFonts w:hint="eastAsia" w:ascii="仿宋_GB2312" w:hAnsi="仿宋_GB2312" w:eastAsia="仿宋_GB2312" w:cs="仿宋_GB2312"/>
          <w:b/>
          <w:kern w:val="0"/>
          <w:sz w:val="32"/>
          <w:szCs w:val="32"/>
        </w:rPr>
        <w:t>附表9  留用土地项目修正系数表</w:t>
      </w:r>
    </w:p>
    <w:tbl>
      <w:tblPr>
        <w:tblStyle w:val="9"/>
        <w:tblW w:w="9348"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3"/>
        <w:gridCol w:w="1701"/>
        <w:gridCol w:w="2315"/>
        <w:gridCol w:w="145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tblHead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30" w:lineRule="exact"/>
              <w:ind w:left="0" w:right="42" w:rightChars="2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55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30" w:lineRule="exact"/>
              <w:ind w:left="0" w:right="42" w:rightChars="2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用地类型</w:t>
            </w:r>
          </w:p>
        </w:tc>
        <w:tc>
          <w:tcPr>
            <w:tcW w:w="1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30" w:lineRule="exact"/>
              <w:ind w:left="0" w:right="42" w:rightChars="2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适用住宅、商业、办公地价</w:t>
            </w:r>
          </w:p>
          <w:p>
            <w:pPr>
              <w:keepNext w:val="0"/>
              <w:keepLines w:val="0"/>
              <w:suppressLineNumbers w:val="0"/>
              <w:spacing w:before="0" w:beforeAutospacing="0" w:after="0" w:afterAutospacing="0" w:line="330" w:lineRule="exact"/>
              <w:ind w:left="0" w:right="42" w:rightChars="2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修正系数</w:t>
            </w:r>
          </w:p>
        </w:tc>
        <w:tc>
          <w:tcPr>
            <w:tcW w:w="1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30" w:lineRule="exact"/>
              <w:ind w:left="0" w:right="42" w:rightChars="2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适用工业地价修正系数（除附表1</w:t>
            </w:r>
          </w:p>
          <w:p>
            <w:pPr>
              <w:keepNext w:val="0"/>
              <w:keepLines w:val="0"/>
              <w:widowControl/>
              <w:suppressLineNumbers w:val="0"/>
              <w:spacing w:before="0" w:beforeAutospacing="0" w:after="0" w:afterAutospacing="0" w:line="330" w:lineRule="exact"/>
              <w:ind w:left="0" w:right="42" w:rightChars="20"/>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sz w:val="24"/>
                <w:szCs w:val="24"/>
              </w:rPr>
              <w:t>建筑类型4）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30" w:lineRule="exact"/>
              <w:ind w:left="0" w:right="42" w:rightChars="2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55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3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非农建设用地、征地返还用地、留用土地不得转让情形及属于政府部分</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3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7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0" w:lineRule="exact"/>
              <w:ind w:left="0" w:right="42" w:rightChars="2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53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非农建设用地、征地返还用地进入市场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非农建设用地、在本社区安置的征地返还用地</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r≤3.2部分</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42" w:rightChars="20"/>
              <w:jc w:val="left"/>
              <w:rPr>
                <w:rFonts w:hint="eastAsia" w:ascii="仿宋_GB2312" w:hAnsi="仿宋_GB2312" w:eastAsia="仿宋_GB2312" w:cs="仿宋_GB2312"/>
                <w:kern w:val="0"/>
                <w:sz w:val="24"/>
                <w:szCs w:val="24"/>
              </w:rPr>
            </w:pPr>
          </w:p>
        </w:tc>
        <w:tc>
          <w:tcPr>
            <w:tcW w:w="1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42" w:rightChars="20"/>
              <w:jc w:val="left"/>
              <w:rPr>
                <w:rFonts w:hint="eastAsia" w:ascii="仿宋_GB2312" w:hAnsi="仿宋_GB2312" w:eastAsia="仿宋_GB2312" w:cs="仿宋_GB2312"/>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42" w:rightChars="20"/>
              <w:jc w:val="left"/>
              <w:rPr>
                <w:rFonts w:hint="eastAsia" w:ascii="仿宋_GB2312" w:hAnsi="仿宋_GB2312" w:eastAsia="仿宋_GB2312" w:cs="仿宋_GB2312"/>
                <w:sz w:val="24"/>
                <w:szCs w:val="24"/>
              </w:rPr>
            </w:pP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r&gt;3.2部分</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42" w:rightChars="20"/>
              <w:jc w:val="left"/>
              <w:rPr>
                <w:rFonts w:hint="eastAsia" w:ascii="仿宋_GB2312" w:hAnsi="仿宋_GB2312" w:eastAsia="仿宋_GB2312" w:cs="仿宋_GB2312"/>
                <w:kern w:val="0"/>
                <w:sz w:val="24"/>
                <w:szCs w:val="24"/>
              </w:rPr>
            </w:pPr>
          </w:p>
        </w:tc>
        <w:tc>
          <w:tcPr>
            <w:tcW w:w="1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42" w:rightChars="20"/>
              <w:jc w:val="left"/>
              <w:rPr>
                <w:rFonts w:hint="eastAsia" w:ascii="仿宋_GB2312" w:hAnsi="仿宋_GB2312" w:eastAsia="仿宋_GB2312" w:cs="仿宋_GB2312"/>
                <w:sz w:val="24"/>
                <w:szCs w:val="24"/>
              </w:rPr>
            </w:pP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在本社区或社区外经评估后安置的征地返还用地</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等价值部分</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42" w:rightChars="20"/>
              <w:jc w:val="left"/>
              <w:rPr>
                <w:rFonts w:hint="eastAsia" w:ascii="仿宋_GB2312" w:hAnsi="仿宋_GB2312" w:eastAsia="仿宋_GB2312" w:cs="仿宋_GB2312"/>
                <w:kern w:val="0"/>
                <w:sz w:val="24"/>
                <w:szCs w:val="24"/>
              </w:rPr>
            </w:pPr>
          </w:p>
        </w:tc>
        <w:tc>
          <w:tcPr>
            <w:tcW w:w="153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42" w:rightChars="20"/>
              <w:jc w:val="left"/>
              <w:rPr>
                <w:rFonts w:hint="eastAsia" w:ascii="仿宋_GB2312" w:hAnsi="仿宋_GB2312" w:eastAsia="仿宋_GB2312" w:cs="仿宋_GB2312"/>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42" w:rightChars="20"/>
              <w:jc w:val="left"/>
              <w:rPr>
                <w:rFonts w:hint="eastAsia" w:ascii="仿宋_GB2312" w:hAnsi="仿宋_GB2312" w:eastAsia="仿宋_GB2312" w:cs="仿宋_GB2312"/>
                <w:sz w:val="24"/>
                <w:szCs w:val="24"/>
              </w:rPr>
            </w:pP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超出等价值部分</w:t>
            </w:r>
          </w:p>
        </w:tc>
        <w:tc>
          <w:tcPr>
            <w:tcW w:w="30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7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10" w:lineRule="exact"/>
              <w:ind w:left="0" w:right="42" w:rightChars="2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234"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农村集体经济组织利益统筹土地整备项目留用土地进入市场</w:t>
            </w: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基础建筑面积</w:t>
            </w:r>
          </w:p>
        </w:tc>
        <w:tc>
          <w:tcPr>
            <w:tcW w:w="1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0" w:lineRule="exact"/>
              <w:ind w:left="0" w:right="42" w:rightChars="2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0.02</w:t>
            </w:r>
          </w:p>
        </w:tc>
        <w:tc>
          <w:tcPr>
            <w:tcW w:w="164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42" w:rightChars="20"/>
              <w:jc w:val="left"/>
              <w:rPr>
                <w:rFonts w:hint="eastAsia" w:ascii="仿宋_GB2312" w:hAnsi="仿宋_GB2312" w:eastAsia="仿宋_GB2312" w:cs="仿宋_GB2312"/>
                <w:kern w:val="0"/>
                <w:sz w:val="24"/>
                <w:szCs w:val="24"/>
              </w:rPr>
            </w:pPr>
          </w:p>
        </w:tc>
        <w:tc>
          <w:tcPr>
            <w:tcW w:w="3234"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42" w:rightChars="20"/>
              <w:jc w:val="left"/>
              <w:rPr>
                <w:rFonts w:hint="eastAsia" w:ascii="仿宋_GB2312" w:hAnsi="仿宋_GB2312" w:eastAsia="仿宋_GB2312" w:cs="仿宋_GB2312"/>
                <w:sz w:val="24"/>
                <w:szCs w:val="24"/>
              </w:rPr>
            </w:pPr>
          </w:p>
        </w:tc>
        <w:tc>
          <w:tcPr>
            <w:tcW w:w="231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10" w:lineRule="exact"/>
              <w:ind w:left="0"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共享建筑面积</w:t>
            </w:r>
          </w:p>
        </w:tc>
        <w:tc>
          <w:tcPr>
            <w:tcW w:w="14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0" w:lineRule="exact"/>
              <w:ind w:left="0" w:right="42" w:rightChars="2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0.2</w:t>
            </w:r>
          </w:p>
        </w:tc>
        <w:tc>
          <w:tcPr>
            <w:tcW w:w="164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42" w:rightChars="20"/>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348"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10" w:lineRule="exact"/>
              <w:ind w:left="0" w:right="42" w:rightChars="2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p>
            <w:pPr>
              <w:keepNext w:val="0"/>
              <w:keepLines w:val="0"/>
              <w:widowControl/>
              <w:suppressLineNumbers w:val="0"/>
              <w:spacing w:before="0" w:beforeAutospacing="0" w:after="0" w:afterAutospacing="0" w:line="310" w:lineRule="exact"/>
              <w:ind w:left="0" w:right="42" w:rightChars="2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kern w:val="0"/>
                <w:sz w:val="24"/>
                <w:szCs w:val="24"/>
              </w:rPr>
              <w:t>基础建筑面积、共享建筑面积、等价值部分、超出等价值部分按土地整备有关文件执行。</w:t>
            </w:r>
          </w:p>
          <w:p>
            <w:pPr>
              <w:keepNext w:val="0"/>
              <w:keepLines w:val="0"/>
              <w:widowControl/>
              <w:suppressLineNumbers w:val="0"/>
              <w:spacing w:before="0" w:beforeAutospacing="0" w:after="0" w:afterAutospacing="0" w:line="310" w:lineRule="exact"/>
              <w:ind w:left="0" w:right="42" w:rightChars="2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2．本表序号2、3仅适用于建筑面积首次由“不得转让”变为“允许分割转让”情形的地价测算；使用上述系数测算并缴纳地价的，对应建筑面积部分为允许分割转让情形。</w:t>
            </w:r>
          </w:p>
          <w:p>
            <w:pPr>
              <w:keepNext w:val="0"/>
              <w:keepLines w:val="0"/>
              <w:widowControl/>
              <w:suppressLineNumbers w:val="0"/>
              <w:spacing w:before="0" w:beforeAutospacing="0" w:after="0" w:afterAutospacing="0" w:line="310" w:lineRule="exact"/>
              <w:ind w:left="0" w:right="42" w:rightChars="2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3．约定为“不得转让”“自用”或“非商品性质”的，属于“不得转让”情形。</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4．附表1的建筑类型4的留用土地项目修正系数</w:t>
            </w:r>
            <w:r>
              <w:rPr>
                <w:rFonts w:hint="eastAsia" w:ascii="仿宋_GB2312" w:hAnsi="仿宋_GB2312" w:eastAsia="仿宋_GB2312" w:cs="仿宋_GB2312"/>
                <w:kern w:val="0"/>
                <w:sz w:val="24"/>
                <w:szCs w:val="24"/>
              </w:rPr>
              <w:t>按照厂房及办公修正系数分别修正。</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r为非农建设用地、在本社区安置的征地返还用地的地上规定建筑面积（不包括产权归政府部分）+地下规定建筑面积（不包括产权归政府部分）之和与用地面积的比值。其中，计算中涉及多种建筑类型的，应将各建筑类型按照建筑面积比例分摊到不同的计算区间进行地价计算。无法按照已确定的征地返还用地土地面积进行安置，通过调整容积率保障安置建筑面积不减少而导致r有变化的，仍然按原定的用地面积计算r后进行取值分段测算。</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6．土地整备利益统筹项目留用土地配套部分归属原农村集体经济组织的部分，按照比例分摊到基础建筑面积和共享建筑面积的计算区间。</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按照《土地整备利益统筹试点项目管理办法（试行）》（深规土〔2015〕721号）完成实施方案审批的土地整备利益统筹试点项目，项目中留用土地执行2013年公告基准地价标准，并按照《土地整备利益统筹试点项目管理办法（试行）》地价计收规则测算地价。</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成片开发区（指蛇口工业区、赤湾港等已签订大协议的用地及原深圳市蛇口区管理局批出的协议出让用地）的历史用地补办用地手续、土地使用年期续期、</w:t>
            </w:r>
            <w:r>
              <w:rPr>
                <w:rFonts w:hint="eastAsia" w:ascii="仿宋_GB2312" w:hAnsi="仿宋_GB2312" w:eastAsia="仿宋_GB2312" w:cs="仿宋_GB2312"/>
                <w:kern w:val="0"/>
                <w:sz w:val="24"/>
                <w:szCs w:val="24"/>
                <w:lang w:val="en-US" w:eastAsia="zh-CN"/>
              </w:rPr>
              <w:t>补地价进入市场</w:t>
            </w:r>
            <w:r>
              <w:rPr>
                <w:rFonts w:hint="eastAsia" w:ascii="仿宋_GB2312" w:hAnsi="仿宋_GB2312" w:eastAsia="仿宋_GB2312" w:cs="仿宋_GB2312"/>
                <w:kern w:val="0"/>
                <w:sz w:val="24"/>
                <w:szCs w:val="24"/>
              </w:rPr>
              <w:t>等事项，地价按</w:t>
            </w:r>
            <w:r>
              <w:rPr>
                <w:rFonts w:hint="eastAsia" w:ascii="仿宋_GB2312" w:hAnsi="仿宋_GB2312" w:eastAsia="仿宋_GB2312" w:cs="仿宋_GB2312"/>
                <w:kern w:val="0"/>
                <w:sz w:val="24"/>
                <w:szCs w:val="24"/>
                <w:lang w:val="en-US" w:eastAsia="zh-CN"/>
              </w:rPr>
              <w:t>测算</w:t>
            </w:r>
            <w:r>
              <w:rPr>
                <w:rFonts w:hint="eastAsia" w:ascii="仿宋_GB2312" w:hAnsi="仿宋_GB2312" w:eastAsia="仿宋_GB2312" w:cs="仿宋_GB2312"/>
                <w:kern w:val="0"/>
                <w:sz w:val="24"/>
                <w:szCs w:val="24"/>
              </w:rPr>
              <w:t>规则测算结果的20%计收。</w:t>
            </w:r>
          </w:p>
        </w:tc>
      </w:tr>
    </w:tbl>
    <w:p>
      <w:pPr>
        <w:spacing w:line="579"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附表10  拆除重建类城市更新项目修正系数计算表</w:t>
      </w:r>
    </w:p>
    <w:tbl>
      <w:tblPr>
        <w:tblStyle w:val="9"/>
        <w:tblW w:w="9693"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684"/>
        <w:gridCol w:w="1247"/>
        <w:gridCol w:w="1234"/>
        <w:gridCol w:w="1223"/>
        <w:gridCol w:w="1341"/>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589" w:type="dxa"/>
            <w:vAlign w:val="center"/>
          </w:tcPr>
          <w:p>
            <w:pPr>
              <w:keepNext w:val="0"/>
              <w:keepLines w:val="0"/>
              <w:suppressLineNumbers w:val="0"/>
              <w:spacing w:before="0" w:beforeAutospacing="0" w:after="0" w:afterAutospacing="0" w:line="360" w:lineRule="exact"/>
              <w:ind w:left="-199" w:leftChars="-95" w:right="-59" w:rightChars="-28" w:firstLine="0" w:firstLineChars="0"/>
              <w:jc w:val="right"/>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测算次序</w:t>
            </w:r>
          </w:p>
        </w:tc>
        <w:tc>
          <w:tcPr>
            <w:tcW w:w="1684"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用地类别或改造类型</w:t>
            </w:r>
          </w:p>
        </w:tc>
        <w:tc>
          <w:tcPr>
            <w:tcW w:w="1247"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适用住宅地价修正因子</w:t>
            </w:r>
          </w:p>
        </w:tc>
        <w:tc>
          <w:tcPr>
            <w:tcW w:w="1234"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适用商业地价修正因子</w:t>
            </w:r>
          </w:p>
        </w:tc>
        <w:tc>
          <w:tcPr>
            <w:tcW w:w="1223"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适用办公地价修正因子</w:t>
            </w:r>
          </w:p>
        </w:tc>
        <w:tc>
          <w:tcPr>
            <w:tcW w:w="1341"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适用工业地价修正因子</w:t>
            </w:r>
          </w:p>
        </w:tc>
        <w:tc>
          <w:tcPr>
            <w:tcW w:w="237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589" w:type="dxa"/>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1</w:t>
            </w:r>
          </w:p>
        </w:tc>
        <w:tc>
          <w:tcPr>
            <w:tcW w:w="1684" w:type="dxa"/>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小地块城市更新项目应移交未移交用地</w:t>
            </w:r>
          </w:p>
        </w:tc>
        <w:tc>
          <w:tcPr>
            <w:tcW w:w="1247" w:type="dxa"/>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1.1</w:t>
            </w:r>
          </w:p>
        </w:tc>
        <w:tc>
          <w:tcPr>
            <w:tcW w:w="1234" w:type="dxa"/>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1.1</w:t>
            </w:r>
          </w:p>
        </w:tc>
        <w:tc>
          <w:tcPr>
            <w:tcW w:w="1223" w:type="dxa"/>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1</w:t>
            </w:r>
            <w:bookmarkStart w:id="0" w:name="_GoBack"/>
            <w:bookmarkEnd w:id="0"/>
            <w:r>
              <w:rPr>
                <w:rFonts w:hint="eastAsia" w:ascii="仿宋_GB2312" w:hAnsi="仿宋_GB2312" w:eastAsia="仿宋_GB2312" w:cs="仿宋_GB2312"/>
                <w:bCs/>
                <w:kern w:val="0"/>
                <w:sz w:val="22"/>
                <w:szCs w:val="22"/>
              </w:rPr>
              <w:t>.1</w:t>
            </w:r>
          </w:p>
        </w:tc>
        <w:tc>
          <w:tcPr>
            <w:tcW w:w="1341" w:type="dxa"/>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1.1</w:t>
            </w:r>
          </w:p>
        </w:tc>
        <w:tc>
          <w:tcPr>
            <w:tcW w:w="2375" w:type="dxa"/>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589" w:type="dxa"/>
            <w:vMerge w:val="restart"/>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2</w:t>
            </w:r>
          </w:p>
        </w:tc>
        <w:tc>
          <w:tcPr>
            <w:tcW w:w="1684" w:type="dxa"/>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已办理征转地补偿的零星国有未出让用地</w:t>
            </w:r>
          </w:p>
        </w:tc>
        <w:tc>
          <w:tcPr>
            <w:tcW w:w="1247" w:type="dxa"/>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1.1</w:t>
            </w:r>
          </w:p>
        </w:tc>
        <w:tc>
          <w:tcPr>
            <w:tcW w:w="1234" w:type="dxa"/>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1.1</w:t>
            </w:r>
          </w:p>
        </w:tc>
        <w:tc>
          <w:tcPr>
            <w:tcW w:w="1223" w:type="dxa"/>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1.1</w:t>
            </w:r>
          </w:p>
        </w:tc>
        <w:tc>
          <w:tcPr>
            <w:tcW w:w="1341" w:type="dxa"/>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1.1</w:t>
            </w:r>
          </w:p>
        </w:tc>
        <w:tc>
          <w:tcPr>
            <w:tcW w:w="2375" w:type="dxa"/>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9" w:type="dxa"/>
            <w:vMerge w:val="continue"/>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p>
        </w:tc>
        <w:tc>
          <w:tcPr>
            <w:tcW w:w="1684" w:type="dxa"/>
            <w:vAlign w:val="center"/>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未办理征转地补偿的零星国有未出让用地</w:t>
            </w:r>
          </w:p>
        </w:tc>
        <w:tc>
          <w:tcPr>
            <w:tcW w:w="1247" w:type="dxa"/>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w:t>
            </w:r>
          </w:p>
        </w:tc>
        <w:tc>
          <w:tcPr>
            <w:tcW w:w="1234" w:type="dxa"/>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0.18</w:t>
            </w:r>
          </w:p>
        </w:tc>
        <w:tc>
          <w:tcPr>
            <w:tcW w:w="1223" w:type="dxa"/>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w:t>
            </w:r>
          </w:p>
        </w:tc>
        <w:tc>
          <w:tcPr>
            <w:tcW w:w="1341" w:type="dxa"/>
            <w:vAlign w:val="center"/>
          </w:tcPr>
          <w:p>
            <w:pPr>
              <w:keepNext w:val="0"/>
              <w:keepLines w:val="0"/>
              <w:suppressLineNumbers w:val="0"/>
              <w:spacing w:before="0" w:beforeAutospacing="0" w:after="0" w:afterAutospacing="0" w:line="29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w:t>
            </w:r>
          </w:p>
        </w:tc>
        <w:tc>
          <w:tcPr>
            <w:tcW w:w="2375" w:type="dxa"/>
          </w:tcPr>
          <w:p>
            <w:pPr>
              <w:keepNext w:val="0"/>
              <w:keepLines w:val="0"/>
              <w:suppressLineNumbers w:val="0"/>
              <w:spacing w:before="0" w:beforeAutospacing="0" w:after="0" w:afterAutospacing="0" w:line="290" w:lineRule="exact"/>
              <w:ind w:left="0" w:right="0"/>
              <w:rPr>
                <w:rFonts w:hint="eastAsia" w:ascii="仿宋_GB2312" w:hAnsi="仿宋_GB2312" w:eastAsia="仿宋_GB2312" w:cs="仿宋_GB2312"/>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6" w:hRule="atLeast"/>
        </w:trPr>
        <w:tc>
          <w:tcPr>
            <w:tcW w:w="589"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3</w:t>
            </w:r>
          </w:p>
        </w:tc>
        <w:tc>
          <w:tcPr>
            <w:tcW w:w="1684" w:type="dxa"/>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城中村用地</w:t>
            </w:r>
          </w:p>
        </w:tc>
        <w:tc>
          <w:tcPr>
            <w:tcW w:w="1247"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0.1×(1-4.5/r)</w:t>
            </w:r>
          </w:p>
        </w:tc>
        <w:tc>
          <w:tcPr>
            <w:tcW w:w="1234"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0.18×(1-4.5/r)</w:t>
            </w:r>
          </w:p>
        </w:tc>
        <w:tc>
          <w:tcPr>
            <w:tcW w:w="1223"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0.15×(1-4.5/r)</w:t>
            </w:r>
          </w:p>
        </w:tc>
        <w:tc>
          <w:tcPr>
            <w:tcW w:w="1341"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0.15×(1-4.5/r)</w:t>
            </w:r>
          </w:p>
        </w:tc>
        <w:tc>
          <w:tcPr>
            <w:tcW w:w="2375" w:type="dxa"/>
            <w:vMerge w:val="restart"/>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修正因子计算结果为负数时取零；按《关于加强和改进城市更新实施工作的暂行措施》（深府办〔2016〕38号）文件要求配建人才住房、保障性住房或人才公寓的城市更新项目，按相应修正因子的0.8倍计算。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1" w:hRule="atLeast"/>
        </w:trPr>
        <w:tc>
          <w:tcPr>
            <w:tcW w:w="589"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4</w:t>
            </w:r>
          </w:p>
        </w:tc>
        <w:tc>
          <w:tcPr>
            <w:tcW w:w="1684" w:type="dxa"/>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旧屋村用地</w:t>
            </w:r>
          </w:p>
        </w:tc>
        <w:tc>
          <w:tcPr>
            <w:tcW w:w="1247"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0.1×(1-1.5/r)</w:t>
            </w:r>
          </w:p>
        </w:tc>
        <w:tc>
          <w:tcPr>
            <w:tcW w:w="1234"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0.18×(1-1.5/r)</w:t>
            </w:r>
          </w:p>
        </w:tc>
        <w:tc>
          <w:tcPr>
            <w:tcW w:w="1223"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0.15×(1-1.5/r)</w:t>
            </w:r>
          </w:p>
        </w:tc>
        <w:tc>
          <w:tcPr>
            <w:tcW w:w="1341"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0.15×(1-1.5/r)</w:t>
            </w:r>
          </w:p>
        </w:tc>
        <w:tc>
          <w:tcPr>
            <w:tcW w:w="2375" w:type="dxa"/>
            <w:vMerge w:val="continue"/>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3" w:hRule="atLeast"/>
        </w:trPr>
        <w:tc>
          <w:tcPr>
            <w:tcW w:w="589"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5</w:t>
            </w:r>
          </w:p>
        </w:tc>
        <w:tc>
          <w:tcPr>
            <w:tcW w:w="1684" w:type="dxa"/>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70个旧城旧村改造项目除城中村用地、旧屋村用地外的其余用地</w:t>
            </w:r>
          </w:p>
        </w:tc>
        <w:tc>
          <w:tcPr>
            <w:tcW w:w="1247"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w:t>
            </w:r>
          </w:p>
        </w:tc>
        <w:tc>
          <w:tcPr>
            <w:tcW w:w="1234"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0.18</w:t>
            </w:r>
          </w:p>
        </w:tc>
        <w:tc>
          <w:tcPr>
            <w:tcW w:w="1223"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w:t>
            </w:r>
          </w:p>
        </w:tc>
        <w:tc>
          <w:tcPr>
            <w:tcW w:w="1341"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w:t>
            </w:r>
          </w:p>
        </w:tc>
        <w:tc>
          <w:tcPr>
            <w:tcW w:w="2375" w:type="dxa"/>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70个旧城旧村改造项目按照《关于宝安龙岗两区自行开展的新安翻身工业区等70个旧城旧村改造项目的处理意见》（深府〔2006〕258号）确定。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 w:hRule="atLeast"/>
        </w:trPr>
        <w:tc>
          <w:tcPr>
            <w:tcW w:w="589" w:type="dxa"/>
            <w:vMerge w:val="restart"/>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6</w:t>
            </w:r>
          </w:p>
        </w:tc>
        <w:tc>
          <w:tcPr>
            <w:tcW w:w="1684" w:type="dxa"/>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国有已批用地改造为工业用地、物流仓储用地</w:t>
            </w:r>
          </w:p>
        </w:tc>
        <w:tc>
          <w:tcPr>
            <w:tcW w:w="1247"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0.4</w:t>
            </w:r>
          </w:p>
        </w:tc>
        <w:tc>
          <w:tcPr>
            <w:tcW w:w="1234"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0.75</w:t>
            </w:r>
          </w:p>
        </w:tc>
        <w:tc>
          <w:tcPr>
            <w:tcW w:w="1223"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0.6</w:t>
            </w:r>
          </w:p>
        </w:tc>
        <w:tc>
          <w:tcPr>
            <w:tcW w:w="1341"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w:t>
            </w:r>
          </w:p>
        </w:tc>
        <w:tc>
          <w:tcPr>
            <w:tcW w:w="2375" w:type="dxa"/>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改造为三类居住用地（R3）的，适用本改造类型。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9" w:hRule="atLeast"/>
        </w:trPr>
        <w:tc>
          <w:tcPr>
            <w:tcW w:w="589"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p>
        </w:tc>
        <w:tc>
          <w:tcPr>
            <w:tcW w:w="1684" w:type="dxa"/>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国有已批居住、商业服务业用地改造为居住、商业服务业用地</w:t>
            </w:r>
          </w:p>
        </w:tc>
        <w:tc>
          <w:tcPr>
            <w:tcW w:w="1247"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w:t>
            </w:r>
          </w:p>
        </w:tc>
        <w:tc>
          <w:tcPr>
            <w:tcW w:w="1234"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0.18</w:t>
            </w:r>
          </w:p>
        </w:tc>
        <w:tc>
          <w:tcPr>
            <w:tcW w:w="1223"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w:t>
            </w:r>
          </w:p>
        </w:tc>
        <w:tc>
          <w:tcPr>
            <w:tcW w:w="1341"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w:t>
            </w:r>
          </w:p>
        </w:tc>
        <w:tc>
          <w:tcPr>
            <w:tcW w:w="2375" w:type="dxa"/>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其中，国有已批游乐设施用地经市政府同意改造为居住、商业服务业用地的，按相应修正因子的3.5倍计算。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6</w:t>
            </w:r>
          </w:p>
        </w:tc>
        <w:tc>
          <w:tcPr>
            <w:tcW w:w="1684"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国有已批用地（除居住、商业服务业用地）改造为居住、商业服务业用地</w:t>
            </w:r>
          </w:p>
        </w:tc>
        <w:tc>
          <w:tcPr>
            <w:tcW w:w="124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0.4</w:t>
            </w:r>
          </w:p>
        </w:tc>
        <w:tc>
          <w:tcPr>
            <w:tcW w:w="1234"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0.9</w:t>
            </w:r>
          </w:p>
        </w:tc>
        <w:tc>
          <w:tcPr>
            <w:tcW w:w="1223"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0.6</w:t>
            </w:r>
          </w:p>
        </w:tc>
        <w:tc>
          <w:tcPr>
            <w:tcW w:w="1341"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w:t>
            </w:r>
          </w:p>
        </w:tc>
        <w:tc>
          <w:tcPr>
            <w:tcW w:w="2375" w:type="dxa"/>
          </w:tcPr>
          <w:p>
            <w:pPr>
              <w:keepNext w:val="0"/>
              <w:keepLines w:val="0"/>
              <w:suppressLineNumbers w:val="0"/>
              <w:spacing w:before="0" w:beforeAutospacing="0" w:after="0" w:afterAutospacing="0"/>
              <w:ind w:left="0" w:right="0"/>
              <w:rPr>
                <w:rFonts w:hint="eastAsia" w:ascii="仿宋_GB2312" w:hAnsi="仿宋_GB2312" w:eastAsia="仿宋_GB2312" w:cs="仿宋_GB2312"/>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0" w:hRule="atLeast"/>
        </w:trPr>
        <w:tc>
          <w:tcPr>
            <w:tcW w:w="589"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p>
        </w:tc>
        <w:tc>
          <w:tcPr>
            <w:tcW w:w="1684" w:type="dxa"/>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国有已批用地改造为公共管理与服务设施用地（包括文体设施、医疗卫生、教育设施、社会福利用地）</w:t>
            </w:r>
          </w:p>
        </w:tc>
        <w:tc>
          <w:tcPr>
            <w:tcW w:w="1247"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w:t>
            </w:r>
          </w:p>
        </w:tc>
        <w:tc>
          <w:tcPr>
            <w:tcW w:w="1234"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0.18</w:t>
            </w:r>
          </w:p>
        </w:tc>
        <w:tc>
          <w:tcPr>
            <w:tcW w:w="1223"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w:t>
            </w:r>
          </w:p>
        </w:tc>
        <w:tc>
          <w:tcPr>
            <w:tcW w:w="1341"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w:t>
            </w:r>
          </w:p>
        </w:tc>
        <w:tc>
          <w:tcPr>
            <w:tcW w:w="2375" w:type="dxa"/>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公共管理与服务设施用地限整体转让。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9"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6</w:t>
            </w:r>
          </w:p>
        </w:tc>
        <w:tc>
          <w:tcPr>
            <w:tcW w:w="1684" w:type="dxa"/>
            <w:vAlign w:val="center"/>
          </w:tcPr>
          <w:p>
            <w:pPr>
              <w:keepNext w:val="0"/>
              <w:keepLines w:val="0"/>
              <w:suppressLineNumbers w:val="0"/>
              <w:spacing w:before="0" w:beforeAutospacing="0" w:after="0" w:afterAutospacing="0"/>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国有已批用地属于按农村城市化历史遗留违法建筑处理规定处理给原农村集体经济组织及其继受单位且权属未转移的用地</w:t>
            </w:r>
          </w:p>
        </w:tc>
        <w:tc>
          <w:tcPr>
            <w:tcW w:w="1247"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w:t>
            </w:r>
          </w:p>
        </w:tc>
        <w:tc>
          <w:tcPr>
            <w:tcW w:w="1234"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0.18</w:t>
            </w:r>
          </w:p>
        </w:tc>
        <w:tc>
          <w:tcPr>
            <w:tcW w:w="1223"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w:t>
            </w:r>
          </w:p>
        </w:tc>
        <w:tc>
          <w:tcPr>
            <w:tcW w:w="1341" w:type="dxa"/>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0.15</w:t>
            </w:r>
          </w:p>
        </w:tc>
        <w:tc>
          <w:tcPr>
            <w:tcW w:w="2375" w:type="dxa"/>
          </w:tcPr>
          <w:p>
            <w:pPr>
              <w:keepNext w:val="0"/>
              <w:keepLines w:val="0"/>
              <w:suppressLineNumbers w:val="0"/>
              <w:spacing w:before="0" w:beforeAutospacing="0" w:after="0" w:afterAutospacing="0"/>
              <w:ind w:left="0" w:right="0"/>
              <w:rPr>
                <w:rFonts w:hint="eastAsia" w:ascii="仿宋_GB2312" w:hAnsi="仿宋_GB2312" w:eastAsia="仿宋_GB2312" w:cs="仿宋_GB2312"/>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89"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7</w:t>
            </w:r>
          </w:p>
        </w:tc>
        <w:tc>
          <w:tcPr>
            <w:tcW w:w="1684" w:type="dxa"/>
            <w:vAlign w:val="center"/>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历史用地处置</w:t>
            </w:r>
          </w:p>
        </w:tc>
        <w:tc>
          <w:tcPr>
            <w:tcW w:w="1247"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0.11</w:t>
            </w:r>
          </w:p>
        </w:tc>
        <w:tc>
          <w:tcPr>
            <w:tcW w:w="1234"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0.2</w:t>
            </w:r>
          </w:p>
        </w:tc>
        <w:tc>
          <w:tcPr>
            <w:tcW w:w="1223"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0.16</w:t>
            </w:r>
          </w:p>
        </w:tc>
        <w:tc>
          <w:tcPr>
            <w:tcW w:w="1341"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0.16</w:t>
            </w:r>
          </w:p>
        </w:tc>
        <w:tc>
          <w:tcPr>
            <w:tcW w:w="2375" w:type="dxa"/>
          </w:tcPr>
          <w:p>
            <w:pPr>
              <w:keepNext w:val="0"/>
              <w:keepLines w:val="0"/>
              <w:suppressLineNumbers w:val="0"/>
              <w:spacing w:before="0" w:beforeAutospacing="0" w:after="0" w:afterAutospacing="0" w:line="360" w:lineRule="exact"/>
              <w:ind w:left="0" w:right="0"/>
              <w:rPr>
                <w:rFonts w:hint="eastAsia" w:ascii="仿宋_GB2312" w:hAnsi="仿宋_GB2312" w:eastAsia="仿宋_GB2312" w:cs="仿宋_GB2312"/>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4" w:hRule="atLeast"/>
        </w:trPr>
        <w:tc>
          <w:tcPr>
            <w:tcW w:w="9693" w:type="dxa"/>
            <w:gridSpan w:val="7"/>
          </w:tcPr>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备注：</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一、城市更新项目</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城市更新项目以用地审批中确定的一个整体为地价测算单位，按住宅、商业、办公、工业确定项目修正系数，各修正系数按照各“用地类别或改造类型”的面积占比及相应地价修正因子加权平均确定，公式为：各修正系数 = ∑（各“用地类别或改造类型”面积占比×相应修正因子）。</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3.r为一个整体范围内全部开发建设用地的地上规定建筑面积+地下规定建筑面积之和与总用地面积的比值。</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 “用地类别或改造类型”面积占比为相应用地面积与开发建设用地面积的比值，并按照本表中“测算次序”依次计算，累计面积占比超出100%的部分不再参与计算。其中测算次序6存在多种“用地类别或改造类型”的，测算次序6应计入的面积占比按照相应用地面积占国有已批用地面积的比例分摊至各“用地类别或改造类型”。</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4．按深府办〔2016〕38号文要求配建人才住房、保障性住房的城市更新项目，适用“国有已批用地（除居住、商业服务业用地外）改造为居住、商业服务业用地”类型的，除人才住房及保障性住房外的住宅建筑面积按住宅修正因子的0.8倍计算。按深府办〔2016〕38号文要求配建人才公寓的城市更新项目，适用“国有已批用地（除居住、商业服务业用地外）改造为居住、商业服务业用地”类型的，除人才公寓外的商务公寓建筑面积按办公修正因子的0.8倍计算。 </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关于加强城市更新单元规划审批管理工作的通知》（深规土规〔2018〕4号）和《深圳市拆除重建类城市更新单元规划容积率审查规定》（深规划资源〔2019〕1号）中规定按评估地价标准计收地价的建筑面积，按本规则1.7条公式测算地价，项目修正系数为1.1。</w:t>
            </w:r>
          </w:p>
          <w:p>
            <w:pPr>
              <w:keepNext w:val="0"/>
              <w:keepLines w:val="0"/>
              <w:suppressLineNumbers w:val="0"/>
              <w:spacing w:before="0" w:beforeAutospacing="0" w:after="0" w:afterAutospacing="0" w:line="360" w:lineRule="exact"/>
              <w:ind w:left="0" w:right="0"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w:t>
            </w:r>
            <w:r>
              <w:rPr>
                <w:rFonts w:hint="eastAsia" w:ascii="仿宋_GB2312" w:hAnsi="仿宋_GB2312" w:eastAsia="仿宋_GB2312" w:cs="仿宋_GB2312"/>
                <w:kern w:val="0"/>
                <w:sz w:val="24"/>
                <w:szCs w:val="24"/>
                <w:lang w:val="en-US" w:eastAsia="zh-CN"/>
              </w:rPr>
              <w:t>按照《关于加强城市更新单元规划审批管理工作的通知》</w:t>
            </w:r>
            <w:r>
              <w:rPr>
                <w:rFonts w:hint="eastAsia" w:ascii="仿宋_GB2312" w:hAnsi="仿宋_GB2312" w:eastAsia="仿宋_GB2312" w:cs="仿宋_GB2312"/>
                <w:kern w:val="0"/>
                <w:sz w:val="24"/>
                <w:szCs w:val="24"/>
              </w:rPr>
              <w:t>规定</w:t>
            </w:r>
            <w:r>
              <w:rPr>
                <w:rFonts w:hint="eastAsia" w:ascii="仿宋_GB2312" w:hAnsi="仿宋_GB2312" w:eastAsia="仿宋_GB2312" w:cs="仿宋_GB2312"/>
                <w:kern w:val="0"/>
                <w:sz w:val="24"/>
                <w:szCs w:val="24"/>
                <w:lang w:val="en-US" w:eastAsia="zh-CN"/>
              </w:rPr>
              <w:t>增加</w:t>
            </w:r>
            <w:r>
              <w:rPr>
                <w:rFonts w:hint="eastAsia" w:ascii="仿宋_GB2312" w:hAnsi="仿宋_GB2312" w:eastAsia="仿宋_GB2312" w:cs="仿宋_GB2312"/>
                <w:kern w:val="0"/>
                <w:sz w:val="24"/>
                <w:szCs w:val="24"/>
              </w:rPr>
              <w:t>的建筑面积中，安居型商品房、可售人才住房</w:t>
            </w:r>
            <w:r>
              <w:rPr>
                <w:rFonts w:hint="eastAsia" w:ascii="仿宋_GB2312" w:hAnsi="仿宋_GB2312" w:eastAsia="仿宋_GB2312" w:cs="仿宋_GB2312"/>
                <w:kern w:val="0"/>
                <w:sz w:val="24"/>
                <w:szCs w:val="24"/>
                <w:lang w:val="en-US" w:eastAsia="zh-CN"/>
              </w:rPr>
              <w:t>按</w:t>
            </w:r>
            <w:r>
              <w:rPr>
                <w:rFonts w:hint="eastAsia" w:ascii="仿宋_GB2312" w:hAnsi="仿宋_GB2312" w:eastAsia="仿宋_GB2312" w:cs="仿宋_GB2312"/>
                <w:kern w:val="0"/>
                <w:sz w:val="24"/>
                <w:szCs w:val="24"/>
              </w:rPr>
              <w:t>相应建筑功能及建筑面积测算地价</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产权归政府的建筑面积不计收地价。</w:t>
            </w:r>
            <w:r>
              <w:rPr>
                <w:rFonts w:hint="eastAsia" w:ascii="仿宋_GB2312" w:hAnsi="仿宋_GB2312" w:eastAsia="仿宋_GB2312" w:cs="仿宋_GB2312"/>
                <w:kern w:val="0"/>
                <w:sz w:val="24"/>
                <w:szCs w:val="24"/>
              </w:rPr>
              <w:t>其余建筑面积，</w:t>
            </w:r>
            <w:r>
              <w:rPr>
                <w:rFonts w:hint="eastAsia" w:ascii="仿宋_GB2312" w:hAnsi="仿宋_GB2312" w:eastAsia="仿宋_GB2312" w:cs="仿宋_GB2312"/>
                <w:kern w:val="0"/>
                <w:sz w:val="24"/>
                <w:szCs w:val="24"/>
                <w:lang w:val="en-US" w:eastAsia="zh-CN"/>
              </w:rPr>
              <w:t>辖区政府已在更新单元规划中明确其所属地块及建筑功能的，按照已明确的建筑功能及建筑面积测算地价；未明确的，</w:t>
            </w:r>
            <w:r>
              <w:rPr>
                <w:rFonts w:hint="eastAsia" w:ascii="仿宋_GB2312" w:hAnsi="仿宋_GB2312" w:eastAsia="仿宋_GB2312" w:cs="仿宋_GB2312"/>
                <w:kern w:val="0"/>
                <w:sz w:val="24"/>
                <w:szCs w:val="24"/>
              </w:rPr>
              <w:t>按照其与更新单元规划总建筑面积（不含安居型商品房、可售人才住房及产权归政府的建筑面积）的比值</w:t>
            </w:r>
            <w:r>
              <w:rPr>
                <w:rFonts w:hint="eastAsia" w:ascii="仿宋_GB2312" w:hAnsi="仿宋_GB2312" w:eastAsia="仿宋_GB2312" w:cs="仿宋_GB2312"/>
                <w:kern w:val="0"/>
                <w:sz w:val="24"/>
                <w:szCs w:val="24"/>
                <w:lang w:val="en-US" w:eastAsia="zh-CN"/>
              </w:rPr>
              <w:t>计算出分摊的建筑功能及建筑面积后测算地价</w:t>
            </w:r>
            <w:r>
              <w:rPr>
                <w:rFonts w:hint="eastAsia" w:ascii="仿宋_GB2312" w:hAnsi="仿宋_GB2312" w:eastAsia="仿宋_GB2312" w:cs="仿宋_GB2312"/>
                <w:kern w:val="0"/>
                <w:sz w:val="24"/>
                <w:szCs w:val="24"/>
              </w:rPr>
              <w:t>。</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6．本表测算次序第3至7项“用地类别或改造类型”中的厂房、研发用房为不得转让情形的，其适用工业地价修正因子按0计算（即厂房、研发用房不得转让部分不计收地价）。</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签订供应合同时按本规则测算地价的城市更新项目用地，供应合同受让方（不包括转让后的权利主体）申请将工业楼宇及配套用房产权条件变更为整体或分割转让的，应补缴地价＝∑(土地的市场价格×变更后对应建筑面积×变更后基础修正系数×变更后拆除重建类城市更新项目修正系数)-∑(土地的市场价格×变更前对应建筑面积×变更前基础修正系数×变更前拆除重建类城市更新项目修正系数)。如差额为负，不再计收地价。</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签订供应合同时未按本规则测算地价的城市更新项目用地，供应合同受让方（不包括转让后的权利主体）申请将工业楼宇及配套用房产权条件变更为整体或分割转让的，应补缴地价按照前款公式计算，变更后拆除重建类城市更新项目修正系数按照本表中“国有已批用地改造为工业用地、物流仓储用地”改造类型的适用住宅、商业、办公、工业地价修正因子取值；变更前产权条件为不得转让的，变更前拆除重建类城市更新项目修正系数均按0.05取值，变更前产权条件为整体转让的，变更前拆除重建类城市更新项目修正系数均按0.15取值。如差额为负，不再计收地价。</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8．城市更新单元规划确定的开发建设用地范围外的地下停车场（库）部分，按本规则1.7条公式测算地价，其中产权条件修正系数为不得转让情形的系数、项目修正系数为1。</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城市更新拆除范围内的以下用地适用“城中村用地”用地类别：（1）福田、罗湖、南山、盐田区原农村集体已划定红线范围内的用地；（2）宝安、龙岗、龙华、坪山、光明区、大鹏新区根据市政府1993年发布的《深圳市宝安、龙岗两区规划、国土管理暂行办法》、2004年发布的《深圳市宝安龙岗两区城市化土地管理办法》划定给原农村集体的非农建设用地；（3）1993年以后，以土地主管部门核发的用地批复或者土地使用权供应合同形式批准给原农村集体经济组织或者其继受单位的征地返还用地。已批准合作建房并签订土地使用权供应合同、已办理产权转移或者享受过城中村地价政策的用地不再适用“城中村用地”用地类别。</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旧工业区综合整治类城市更新项目中，进行历史用地处置的用地上原有建筑面积参照本表“历史用地处置”类别的修正因子及备注6规定测算地价；新建建筑面积参照“国有已批用地改造为工业用地、物流仓储用地”类型的修正因子及备注6规定测算地价；在原有建筑上加建城市基础设施、公共服务设施及电梯、连廊、楼梯等辅助性公用设施的，不计收地价。</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11．城市更新项目配建的创新型产业用房，建成后政府不回购的，适用附表1序号4的“新型产业用地中的研发用房”建筑类型进行地价测算。</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土地整备留用土地指标与城市更新项目统筹处理的，留用土地中来源于合法用地的指标根据指标批复确定的用地来源按城市更新政策进行地价测算，留用土地中利益共享用地的地价按照城市更新历史用地处置部分的地价标准计收。</w:t>
            </w: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kern w:val="0"/>
                <w:sz w:val="24"/>
                <w:szCs w:val="24"/>
              </w:rPr>
            </w:pPr>
          </w:p>
          <w:p>
            <w:pPr>
              <w:keepNext w:val="0"/>
              <w:keepLines w:val="0"/>
              <w:suppressLineNumbers w:val="0"/>
              <w:spacing w:before="0" w:beforeAutospacing="0" w:after="0" w:afterAutospacing="0" w:line="360" w:lineRule="exact"/>
              <w:ind w:left="0" w:right="0"/>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二、原旧城旧村改造项目</w:t>
            </w:r>
          </w:p>
          <w:p>
            <w:pPr>
              <w:keepNext w:val="0"/>
              <w:keepLines w:val="0"/>
              <w:suppressLineNumbers w:val="0"/>
              <w:spacing w:before="0" w:beforeAutospacing="0" w:after="0" w:afterAutospacing="0" w:line="360" w:lineRule="exact"/>
              <w:ind w:left="0" w:right="0"/>
              <w:jc w:val="left"/>
              <w:rPr>
                <w:rFonts w:hint="eastAsia" w:ascii="仿宋_GB2312" w:eastAsia="仿宋_GB2312" w:hAnsiTheme="majorEastAsia"/>
                <w:sz w:val="24"/>
                <w:szCs w:val="24"/>
              </w:rPr>
            </w:pPr>
            <w:r>
              <w:rPr>
                <w:rFonts w:hint="eastAsia" w:ascii="仿宋_GB2312" w:hAnsi="仿宋_GB2312" w:eastAsia="仿宋_GB2312" w:cs="仿宋_GB2312"/>
                <w:kern w:val="0"/>
                <w:sz w:val="24"/>
                <w:szCs w:val="24"/>
              </w:rPr>
              <w:t>13．原市政府划定的旧城旧村改造项目用地，按本规则1.7条公式测算地价，其中项目修正系数取值如下：安置已取得房地产证的建筑面积参照“国有已批居住、商业服务业用地改造为居住、商业服务业用地”类型的修正因子确定；安置未取得房地产证的建筑面积参照“历史用地处置”类别的修正因子确定，其余建筑面积为1。旧城旧村改造项目用地的地价缴纳方式参照城市更新项目执行。</w:t>
            </w:r>
          </w:p>
        </w:tc>
      </w:tr>
    </w:tbl>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fldChar w:fldCharType="begin"/>
                          </w:r>
                          <w:r>
                            <w:rPr>
                              <w:rFonts w:hint="eastAsia" w:ascii="仿宋" w:hAnsi="仿宋" w:eastAsia="仿宋" w:cs="仿宋"/>
                              <w:color w:val="000000" w:themeColor="text1"/>
                              <w:sz w:val="28"/>
                              <w:szCs w:val="28"/>
                              <w:lang w:eastAsia="zh-CN"/>
                              <w14:textFill>
                                <w14:solidFill>
                                  <w14:schemeClr w14:val="tx1"/>
                                </w14:solidFill>
                              </w14:textFill>
                            </w:rPr>
                            <w:instrText xml:space="preserve"> PAGE  \* MERGEFORMAT </w:instrText>
                          </w:r>
                          <w:r>
                            <w:rPr>
                              <w:rFonts w:hint="eastAsia" w:ascii="仿宋" w:hAnsi="仿宋" w:eastAsia="仿宋" w:cs="仿宋"/>
                              <w:color w:val="000000" w:themeColor="text1"/>
                              <w:sz w:val="28"/>
                              <w:szCs w:val="28"/>
                              <w:lang w:eastAsia="zh-CN"/>
                              <w14:textFill>
                                <w14:solidFill>
                                  <w14:schemeClr w14:val="tx1"/>
                                </w14:solidFill>
                              </w14:textFill>
                            </w:rPr>
                            <w:fldChar w:fldCharType="separate"/>
                          </w:r>
                          <w:r>
                            <w:rPr>
                              <w:rFonts w:hint="eastAsia" w:ascii="仿宋" w:hAnsi="仿宋"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fldChar w:fldCharType="end"/>
                          </w:r>
                          <w:r>
                            <w:rPr>
                              <w:rFonts w:hint="eastAsia" w:ascii="仿宋" w:hAnsi="仿宋" w:eastAsia="仿宋" w:cs="仿宋"/>
                              <w:color w:val="000000" w:themeColor="text1"/>
                              <w:sz w:val="28"/>
                              <w:szCs w:val="28"/>
                              <w:lang w:eastAsia="zh-CN"/>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5"/>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fldChar w:fldCharType="begin"/>
                    </w:r>
                    <w:r>
                      <w:rPr>
                        <w:rFonts w:hint="eastAsia" w:ascii="仿宋" w:hAnsi="仿宋" w:eastAsia="仿宋" w:cs="仿宋"/>
                        <w:color w:val="000000" w:themeColor="text1"/>
                        <w:sz w:val="28"/>
                        <w:szCs w:val="28"/>
                        <w:lang w:eastAsia="zh-CN"/>
                        <w14:textFill>
                          <w14:solidFill>
                            <w14:schemeClr w14:val="tx1"/>
                          </w14:solidFill>
                        </w14:textFill>
                      </w:rPr>
                      <w:instrText xml:space="preserve"> PAGE  \* MERGEFORMAT </w:instrText>
                    </w:r>
                    <w:r>
                      <w:rPr>
                        <w:rFonts w:hint="eastAsia" w:ascii="仿宋" w:hAnsi="仿宋" w:eastAsia="仿宋" w:cs="仿宋"/>
                        <w:color w:val="000000" w:themeColor="text1"/>
                        <w:sz w:val="28"/>
                        <w:szCs w:val="28"/>
                        <w:lang w:eastAsia="zh-CN"/>
                        <w14:textFill>
                          <w14:solidFill>
                            <w14:schemeClr w14:val="tx1"/>
                          </w14:solidFill>
                        </w14:textFill>
                      </w:rPr>
                      <w:fldChar w:fldCharType="separate"/>
                    </w:r>
                    <w:r>
                      <w:rPr>
                        <w:rFonts w:hint="eastAsia" w:ascii="仿宋" w:hAnsi="仿宋"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fldChar w:fldCharType="end"/>
                    </w:r>
                    <w:r>
                      <w:rPr>
                        <w:rFonts w:hint="eastAsia" w:ascii="仿宋" w:hAnsi="仿宋" w:eastAsia="仿宋" w:cs="仿宋"/>
                        <w:color w:val="000000" w:themeColor="text1"/>
                        <w:sz w:val="28"/>
                        <w:szCs w:val="28"/>
                        <w:lang w:eastAsia="zh-CN"/>
                        <w14:textFill>
                          <w14:solidFill>
                            <w14:schemeClr w14:val="tx1"/>
                          </w14:solidFill>
                        </w14:textFill>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593"/>
    <w:rsid w:val="00435CBC"/>
    <w:rsid w:val="0048155A"/>
    <w:rsid w:val="005F7E7C"/>
    <w:rsid w:val="006C774B"/>
    <w:rsid w:val="00867133"/>
    <w:rsid w:val="00902D6B"/>
    <w:rsid w:val="00A81801"/>
    <w:rsid w:val="00AA26D0"/>
    <w:rsid w:val="00B8584A"/>
    <w:rsid w:val="00BC16A9"/>
    <w:rsid w:val="00D41593"/>
    <w:rsid w:val="00E8499D"/>
    <w:rsid w:val="00EA2387"/>
    <w:rsid w:val="00ED7487"/>
    <w:rsid w:val="00F641CE"/>
    <w:rsid w:val="00FA28CF"/>
    <w:rsid w:val="01F13E50"/>
    <w:rsid w:val="041E7C06"/>
    <w:rsid w:val="08D87C46"/>
    <w:rsid w:val="08F16D97"/>
    <w:rsid w:val="0A8D0085"/>
    <w:rsid w:val="0AF176AA"/>
    <w:rsid w:val="0DC74531"/>
    <w:rsid w:val="0EB45848"/>
    <w:rsid w:val="134932C3"/>
    <w:rsid w:val="13BD66F4"/>
    <w:rsid w:val="141B3AA6"/>
    <w:rsid w:val="15B02206"/>
    <w:rsid w:val="1A272249"/>
    <w:rsid w:val="1A5F459D"/>
    <w:rsid w:val="1AB739C7"/>
    <w:rsid w:val="1AD8235A"/>
    <w:rsid w:val="1B1A0313"/>
    <w:rsid w:val="1EF14C23"/>
    <w:rsid w:val="202E2A50"/>
    <w:rsid w:val="20882822"/>
    <w:rsid w:val="215632B1"/>
    <w:rsid w:val="22210A66"/>
    <w:rsid w:val="22A31EC5"/>
    <w:rsid w:val="23AA7D4A"/>
    <w:rsid w:val="24CB189B"/>
    <w:rsid w:val="25116A2D"/>
    <w:rsid w:val="26774AFC"/>
    <w:rsid w:val="26AF1336"/>
    <w:rsid w:val="2A6E3B09"/>
    <w:rsid w:val="2BB847BF"/>
    <w:rsid w:val="2DA2356D"/>
    <w:rsid w:val="33CD041E"/>
    <w:rsid w:val="36FF3EFE"/>
    <w:rsid w:val="39DC55CE"/>
    <w:rsid w:val="3A2012CC"/>
    <w:rsid w:val="3B112457"/>
    <w:rsid w:val="3B70791F"/>
    <w:rsid w:val="3C397047"/>
    <w:rsid w:val="40F47B2C"/>
    <w:rsid w:val="42AA7E40"/>
    <w:rsid w:val="4311422D"/>
    <w:rsid w:val="44427981"/>
    <w:rsid w:val="470926E6"/>
    <w:rsid w:val="498A4FCC"/>
    <w:rsid w:val="4C355965"/>
    <w:rsid w:val="4D5648FC"/>
    <w:rsid w:val="4D582215"/>
    <w:rsid w:val="51D048AF"/>
    <w:rsid w:val="526329E5"/>
    <w:rsid w:val="52E4465B"/>
    <w:rsid w:val="53441712"/>
    <w:rsid w:val="53F867BB"/>
    <w:rsid w:val="54031353"/>
    <w:rsid w:val="5892262C"/>
    <w:rsid w:val="58E32841"/>
    <w:rsid w:val="5A0E7E8E"/>
    <w:rsid w:val="5C61550B"/>
    <w:rsid w:val="5E273623"/>
    <w:rsid w:val="5F305A32"/>
    <w:rsid w:val="61F012C7"/>
    <w:rsid w:val="622B0173"/>
    <w:rsid w:val="6491021D"/>
    <w:rsid w:val="64E347EF"/>
    <w:rsid w:val="65403C68"/>
    <w:rsid w:val="65D67327"/>
    <w:rsid w:val="673B462C"/>
    <w:rsid w:val="678106CB"/>
    <w:rsid w:val="67D24D24"/>
    <w:rsid w:val="67E632C7"/>
    <w:rsid w:val="69185547"/>
    <w:rsid w:val="6B8C791C"/>
    <w:rsid w:val="6C152EC9"/>
    <w:rsid w:val="6D300819"/>
    <w:rsid w:val="6F732AB9"/>
    <w:rsid w:val="723852DB"/>
    <w:rsid w:val="72505CB8"/>
    <w:rsid w:val="725C3B7B"/>
    <w:rsid w:val="727A737D"/>
    <w:rsid w:val="73232A3D"/>
    <w:rsid w:val="76182F33"/>
    <w:rsid w:val="764F4DA6"/>
    <w:rsid w:val="77E021F9"/>
    <w:rsid w:val="77E61017"/>
    <w:rsid w:val="785C2E6F"/>
    <w:rsid w:val="78F72ADE"/>
    <w:rsid w:val="7BF20496"/>
    <w:rsid w:val="7C284EC3"/>
    <w:rsid w:val="7D487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semiHidden/>
    <w:unhideWhenUsed/>
    <w:qFormat/>
    <w:uiPriority w:val="0"/>
    <w:pPr>
      <w:keepNext/>
      <w:keepLines/>
      <w:spacing w:line="560" w:lineRule="exact"/>
      <w:outlineLvl w:val="2"/>
    </w:pPr>
    <w:rPr>
      <w:rFonts w:ascii="仿宋" w:hAnsi="仿宋" w:eastAsia="仿宋"/>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7"/>
    <w:qFormat/>
    <w:uiPriority w:val="0"/>
    <w:rPr>
      <w:b/>
      <w:bCs/>
    </w:rPr>
  </w:style>
  <w:style w:type="character" w:styleId="11">
    <w:name w:val="Strong"/>
    <w:basedOn w:val="10"/>
    <w:qFormat/>
    <w:uiPriority w:val="22"/>
    <w:rPr>
      <w:b/>
      <w:bCs/>
    </w:rPr>
  </w:style>
  <w:style w:type="character" w:styleId="12">
    <w:name w:val="annotation reference"/>
    <w:basedOn w:val="10"/>
    <w:qFormat/>
    <w:uiPriority w:val="0"/>
    <w:rPr>
      <w:sz w:val="21"/>
      <w:szCs w:val="21"/>
    </w:rPr>
  </w:style>
  <w:style w:type="character" w:customStyle="1" w:styleId="13">
    <w:name w:val="标题 3 Char"/>
    <w:basedOn w:val="10"/>
    <w:link w:val="2"/>
    <w:qFormat/>
    <w:uiPriority w:val="9"/>
    <w:rPr>
      <w:rFonts w:ascii="仿宋" w:hAnsi="仿宋" w:eastAsia="仿宋"/>
      <w:b/>
      <w:bCs/>
      <w:kern w:val="2"/>
      <w:sz w:val="28"/>
      <w:szCs w:val="32"/>
    </w:rPr>
  </w:style>
  <w:style w:type="paragraph" w:styleId="14">
    <w:name w:val="List Paragraph"/>
    <w:basedOn w:val="1"/>
    <w:qFormat/>
    <w:uiPriority w:val="34"/>
    <w:pPr>
      <w:ind w:firstLine="420" w:firstLineChars="200"/>
    </w:pPr>
    <w:rPr>
      <w:rFonts w:ascii="Calibri" w:hAnsi="Calibri" w:eastAsia="宋体" w:cs="Times New Roman"/>
    </w:rPr>
  </w:style>
  <w:style w:type="character" w:customStyle="1" w:styleId="15">
    <w:name w:val="批注框文本 Char"/>
    <w:basedOn w:val="10"/>
    <w:link w:val="4"/>
    <w:qFormat/>
    <w:uiPriority w:val="0"/>
    <w:rPr>
      <w:kern w:val="2"/>
      <w:sz w:val="18"/>
      <w:szCs w:val="18"/>
    </w:rPr>
  </w:style>
  <w:style w:type="character" w:customStyle="1" w:styleId="16">
    <w:name w:val="批注文字 Char"/>
    <w:basedOn w:val="10"/>
    <w:link w:val="3"/>
    <w:qFormat/>
    <w:uiPriority w:val="0"/>
    <w:rPr>
      <w:kern w:val="2"/>
      <w:sz w:val="21"/>
      <w:szCs w:val="22"/>
    </w:rPr>
  </w:style>
  <w:style w:type="character" w:customStyle="1" w:styleId="17">
    <w:name w:val="批注主题 Char"/>
    <w:basedOn w:val="16"/>
    <w:link w:val="8"/>
    <w:qFormat/>
    <w:uiPriority w:val="0"/>
    <w:rPr>
      <w:b/>
      <w:bCs/>
      <w:kern w:val="2"/>
      <w:sz w:val="21"/>
      <w:szCs w:val="22"/>
    </w:rPr>
  </w:style>
  <w:style w:type="character" w:customStyle="1" w:styleId="18">
    <w:name w:val="页眉 Char"/>
    <w:basedOn w:val="10"/>
    <w:link w:val="6"/>
    <w:qFormat/>
    <w:uiPriority w:val="0"/>
    <w:rPr>
      <w:kern w:val="2"/>
      <w:sz w:val="18"/>
      <w:szCs w:val="18"/>
    </w:rPr>
  </w:style>
  <w:style w:type="character" w:customStyle="1" w:styleId="19">
    <w:name w:val="页脚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Pages>
  <Words>1511</Words>
  <Characters>8617</Characters>
  <Lines>71</Lines>
  <Paragraphs>20</Paragraphs>
  <TotalTime>3</TotalTime>
  <ScaleCrop>false</ScaleCrop>
  <LinksUpToDate>false</LinksUpToDate>
  <CharactersWithSpaces>10108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2020-12-10T07:04:00Z</dcterms:created>
  <dc:creator>chencla</dc:creator>
  <cp:lastModifiedBy>柳景国</cp:lastModifiedBy>
  <cp:lastPrinted>2020-12-31T08:24:43Z</cp:lastPrinted>
  <dcterms:modified xsi:type="dcterms:W3CDTF">2020-12-31T08:36:21Z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