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Style w:val="11"/>
          <w:rFonts w:ascii="黑体" w:hAnsi="黑体" w:eastAsia="黑体"/>
          <w:bCs/>
          <w:color w:val="auto"/>
          <w:sz w:val="32"/>
          <w:szCs w:val="32"/>
        </w:rPr>
      </w:pPr>
    </w:p>
    <w:p>
      <w:pPr>
        <w:spacing w:line="560" w:lineRule="exact"/>
        <w:jc w:val="right"/>
        <w:rPr>
          <w:rStyle w:val="11"/>
          <w:rFonts w:ascii="楷体_GB2312" w:hAnsi="宋体" w:eastAsia="楷体_GB2312"/>
          <w:b/>
          <w:bCs/>
          <w:color w:val="auto"/>
        </w:rPr>
      </w:pPr>
      <w:r>
        <w:rPr>
          <w:rStyle w:val="11"/>
          <w:rFonts w:ascii="仿宋_GB2312" w:hAnsi="宋体" w:eastAsia="仿宋_GB2312"/>
          <w:color w:val="auto"/>
          <w:sz w:val="28"/>
          <w:szCs w:val="28"/>
        </w:rPr>
        <w:t>深坪产监协〔2020〕第   号</w:t>
      </w:r>
    </w:p>
    <w:p>
      <w:pPr>
        <w:snapToGrid w:val="0"/>
        <w:spacing w:line="560" w:lineRule="exact"/>
        <w:jc w:val="center"/>
        <w:rPr>
          <w:rStyle w:val="11"/>
          <w:rFonts w:ascii="楷体_GB2312" w:hAnsi="宋体" w:eastAsia="楷体_GB2312"/>
          <w:b/>
          <w:bCs/>
          <w:color w:val="auto"/>
        </w:rPr>
      </w:pPr>
    </w:p>
    <w:p>
      <w:pPr>
        <w:snapToGrid w:val="0"/>
        <w:spacing w:line="560" w:lineRule="exact"/>
        <w:jc w:val="center"/>
        <w:rPr>
          <w:rStyle w:val="11"/>
          <w:rFonts w:ascii="楷体_GB2312" w:hAnsi="宋体" w:eastAsia="楷体_GB2312"/>
          <w:b/>
          <w:bCs/>
          <w:color w:val="auto"/>
        </w:rPr>
      </w:pPr>
    </w:p>
    <w:p>
      <w:pPr>
        <w:snapToGrid w:val="0"/>
        <w:spacing w:line="560" w:lineRule="exact"/>
        <w:jc w:val="center"/>
        <w:rPr>
          <w:rStyle w:val="11"/>
          <w:rFonts w:ascii="楷体_GB2312" w:hAnsi="宋体" w:eastAsia="楷体_GB2312"/>
          <w:b/>
          <w:bCs/>
          <w:color w:val="auto"/>
          <w:sz w:val="48"/>
          <w:szCs w:val="48"/>
        </w:rPr>
      </w:pPr>
    </w:p>
    <w:p>
      <w:pPr>
        <w:snapToGrid w:val="0"/>
        <w:spacing w:line="560" w:lineRule="exact"/>
        <w:jc w:val="center"/>
        <w:rPr>
          <w:rStyle w:val="11"/>
          <w:rFonts w:ascii="楷体_GB2312" w:hAnsi="宋体" w:eastAsia="楷体_GB2312"/>
          <w:b/>
          <w:bCs/>
          <w:color w:val="auto"/>
          <w:sz w:val="48"/>
          <w:szCs w:val="48"/>
        </w:rPr>
      </w:pPr>
      <w:r>
        <w:rPr>
          <w:rStyle w:val="11"/>
          <w:rFonts w:ascii="楷体_GB2312" w:hAnsi="宋体" w:eastAsia="楷体_GB2312"/>
          <w:b/>
          <w:bCs/>
          <w:color w:val="auto"/>
          <w:sz w:val="48"/>
          <w:szCs w:val="48"/>
        </w:rPr>
        <w:t>深圳市坪山区产业用地</w:t>
      </w:r>
    </w:p>
    <w:p>
      <w:pPr>
        <w:snapToGrid w:val="0"/>
        <w:spacing w:line="560" w:lineRule="exact"/>
        <w:jc w:val="center"/>
        <w:rPr>
          <w:rStyle w:val="11"/>
          <w:rFonts w:ascii="楷体_GB2312" w:hAnsi="宋体" w:eastAsia="楷体_GB2312"/>
          <w:b/>
          <w:bCs/>
          <w:color w:val="auto"/>
          <w:sz w:val="48"/>
          <w:szCs w:val="48"/>
        </w:rPr>
      </w:pPr>
      <w:r>
        <w:rPr>
          <w:rStyle w:val="11"/>
          <w:rFonts w:ascii="楷体_GB2312" w:hAnsi="宋体" w:eastAsia="楷体_GB2312"/>
          <w:b/>
          <w:bCs/>
          <w:color w:val="auto"/>
          <w:sz w:val="48"/>
          <w:szCs w:val="48"/>
        </w:rPr>
        <w:t>建设和使用监管协议书</w:t>
      </w:r>
    </w:p>
    <w:p>
      <w:pPr>
        <w:snapToGrid w:val="0"/>
        <w:spacing w:line="560" w:lineRule="exact"/>
        <w:jc w:val="center"/>
        <w:rPr>
          <w:rStyle w:val="11"/>
          <w:rFonts w:ascii="楷体_GB2312" w:hAnsi="宋体" w:eastAsia="楷体_GB2312"/>
          <w:color w:val="auto"/>
          <w:sz w:val="32"/>
        </w:rPr>
      </w:pPr>
      <w:r>
        <w:rPr>
          <w:rStyle w:val="11"/>
          <w:rFonts w:ascii="楷体_GB2312" w:hAnsi="宋体" w:eastAsia="楷体_GB2312"/>
          <w:color w:val="auto"/>
          <w:sz w:val="32"/>
        </w:rPr>
        <w:t xml:space="preserve">                           </w:t>
      </w:r>
    </w:p>
    <w:p>
      <w:pPr>
        <w:snapToGrid w:val="0"/>
        <w:spacing w:line="560" w:lineRule="exact"/>
        <w:jc w:val="center"/>
        <w:rPr>
          <w:rStyle w:val="11"/>
          <w:rFonts w:ascii="楷体_GB2312" w:hAnsi="宋体" w:eastAsia="楷体_GB2312"/>
          <w:b/>
          <w:bCs/>
          <w:color w:val="auto"/>
          <w:sz w:val="32"/>
        </w:rPr>
      </w:pPr>
    </w:p>
    <w:p>
      <w:pPr>
        <w:snapToGrid w:val="0"/>
        <w:spacing w:line="560" w:lineRule="exact"/>
        <w:jc w:val="center"/>
        <w:rPr>
          <w:rStyle w:val="11"/>
          <w:rFonts w:ascii="楷体_GB2312" w:hAnsi="宋体" w:eastAsia="楷体_GB2312"/>
          <w:b/>
          <w:bCs/>
          <w:color w:val="auto"/>
          <w:sz w:val="32"/>
        </w:rPr>
      </w:pPr>
    </w:p>
    <w:p>
      <w:pPr>
        <w:snapToGrid w:val="0"/>
        <w:spacing w:line="560" w:lineRule="exact"/>
        <w:jc w:val="center"/>
        <w:rPr>
          <w:rStyle w:val="11"/>
          <w:rFonts w:ascii="楷体_GB2312" w:hAnsi="宋体" w:eastAsia="楷体_GB2312"/>
          <w:b/>
          <w:bCs/>
          <w:color w:val="auto"/>
          <w:sz w:val="32"/>
        </w:rPr>
      </w:pPr>
    </w:p>
    <w:p>
      <w:pPr>
        <w:snapToGrid w:val="0"/>
        <w:spacing w:line="560" w:lineRule="exact"/>
        <w:jc w:val="center"/>
        <w:rPr>
          <w:rStyle w:val="11"/>
          <w:rFonts w:ascii="楷体_GB2312" w:hAnsi="宋体" w:eastAsia="楷体_GB2312"/>
          <w:b/>
          <w:bCs/>
          <w:color w:val="auto"/>
          <w:sz w:val="32"/>
        </w:rPr>
      </w:pPr>
    </w:p>
    <w:p>
      <w:pPr>
        <w:snapToGrid w:val="0"/>
        <w:spacing w:line="560" w:lineRule="exact"/>
        <w:jc w:val="center"/>
        <w:rPr>
          <w:rStyle w:val="11"/>
          <w:rFonts w:ascii="楷体_GB2312" w:hAnsi="宋体" w:eastAsia="楷体_GB2312"/>
          <w:b/>
          <w:bCs/>
          <w:color w:val="auto"/>
          <w:sz w:val="32"/>
        </w:rPr>
      </w:pPr>
    </w:p>
    <w:p>
      <w:pPr>
        <w:spacing w:line="560" w:lineRule="exact"/>
        <w:ind w:firstLine="630" w:firstLineChars="196"/>
        <w:rPr>
          <w:rStyle w:val="11"/>
          <w:rFonts w:ascii="楷体_GB2312" w:hAnsi="宋体" w:eastAsia="楷体_GB2312"/>
          <w:color w:val="auto"/>
          <w:sz w:val="32"/>
          <w:u w:val="single"/>
        </w:rPr>
      </w:pPr>
      <w:r>
        <w:rPr>
          <w:rStyle w:val="11"/>
          <w:rFonts w:ascii="楷体_GB2312" w:hAnsi="宋体" w:eastAsia="楷体_GB2312"/>
          <w:b/>
          <w:bCs/>
          <w:color w:val="auto"/>
          <w:sz w:val="32"/>
        </w:rPr>
        <w:t>宗地编号/用地方案号：</w:t>
      </w:r>
      <w:r>
        <w:rPr>
          <w:rStyle w:val="11"/>
          <w:rFonts w:ascii="楷体_GB2312" w:hAnsi="宋体" w:eastAsia="楷体_GB2312"/>
          <w:b/>
          <w:bCs/>
          <w:color w:val="auto"/>
          <w:sz w:val="32"/>
          <w:u w:val="single"/>
        </w:rPr>
        <w:t xml:space="preserve">  </w:t>
      </w:r>
      <w:r>
        <w:rPr>
          <w:rStyle w:val="11"/>
          <w:rFonts w:ascii="楷体_GB2312" w:hAnsi="宋体" w:eastAsia="楷体_GB2312"/>
          <w:color w:val="auto"/>
          <w:sz w:val="32"/>
          <w:u w:val="single"/>
        </w:rPr>
        <w:t xml:space="preserve">         </w:t>
      </w:r>
      <w:r>
        <w:rPr>
          <w:rStyle w:val="11"/>
          <w:rFonts w:ascii="楷体_GB2312" w:hAnsi="宋体" w:eastAsia="楷体_GB2312"/>
          <w:b/>
          <w:color w:val="auto"/>
          <w:spacing w:val="-20"/>
          <w:sz w:val="32"/>
          <w:szCs w:val="32"/>
          <w:u w:val="single"/>
        </w:rPr>
        <w:t xml:space="preserve"> </w:t>
      </w:r>
      <w:r>
        <w:rPr>
          <w:rStyle w:val="11"/>
          <w:rFonts w:ascii="楷体_GB2312" w:hAnsi="宋体" w:eastAsia="楷体_GB2312"/>
          <w:b/>
          <w:bCs/>
          <w:color w:val="auto"/>
          <w:sz w:val="32"/>
          <w:u w:val="single"/>
        </w:rPr>
        <w:t xml:space="preserve">          </w:t>
      </w:r>
    </w:p>
    <w:p>
      <w:pPr>
        <w:tabs>
          <w:tab w:val="left" w:pos="7200"/>
        </w:tabs>
        <w:spacing w:line="560" w:lineRule="exact"/>
        <w:ind w:left="2566" w:leftChars="304" w:hanging="1928" w:hangingChars="600"/>
        <w:rPr>
          <w:rStyle w:val="11"/>
          <w:rFonts w:ascii="楷体_GB2312" w:hAnsi="宋体" w:eastAsia="楷体_GB2312"/>
          <w:b/>
          <w:bCs/>
          <w:color w:val="auto"/>
          <w:sz w:val="32"/>
          <w:u w:val="single"/>
        </w:rPr>
      </w:pPr>
      <w:r>
        <w:rPr>
          <w:rStyle w:val="11"/>
          <w:rFonts w:ascii="楷体_GB2312" w:hAnsi="宋体" w:eastAsia="楷体_GB2312"/>
          <w:b/>
          <w:bCs/>
          <w:color w:val="auto"/>
          <w:sz w:val="32"/>
        </w:rPr>
        <w:t>项目名称：</w:t>
      </w:r>
      <w:r>
        <w:rPr>
          <w:rStyle w:val="11"/>
          <w:rFonts w:ascii="楷体_GB2312" w:hAnsi="宋体" w:eastAsia="楷体_GB2312"/>
          <w:b/>
          <w:bCs/>
          <w:color w:val="auto"/>
          <w:sz w:val="32"/>
          <w:u w:val="single"/>
        </w:rPr>
        <w:t xml:space="preserve">                           </w:t>
      </w:r>
      <w:r>
        <w:rPr>
          <w:rStyle w:val="11"/>
          <w:rFonts w:ascii="楷体_GB2312" w:hAnsi="宋体" w:eastAsia="楷体_GB2312"/>
          <w:bCs/>
          <w:color w:val="auto"/>
          <w:sz w:val="30"/>
          <w:szCs w:val="30"/>
          <w:u w:val="single"/>
        </w:rPr>
        <w:t xml:space="preserve">      </w:t>
      </w:r>
    </w:p>
    <w:p>
      <w:pPr>
        <w:tabs>
          <w:tab w:val="left" w:pos="7200"/>
        </w:tabs>
        <w:spacing w:line="560" w:lineRule="exact"/>
        <w:ind w:firstLine="643" w:firstLineChars="200"/>
        <w:rPr>
          <w:rStyle w:val="11"/>
          <w:rFonts w:ascii="楷体_GB2312" w:hAnsi="宋体" w:eastAsia="楷体_GB2312"/>
          <w:bCs/>
          <w:color w:val="auto"/>
          <w:sz w:val="30"/>
          <w:szCs w:val="30"/>
          <w:u w:val="single"/>
        </w:rPr>
      </w:pPr>
      <w:r>
        <w:rPr>
          <w:rStyle w:val="11"/>
          <w:rFonts w:ascii="楷体_GB2312" w:hAnsi="宋体" w:eastAsia="楷体_GB2312"/>
          <w:b/>
          <w:bCs/>
          <w:color w:val="auto"/>
          <w:sz w:val="32"/>
          <w:szCs w:val="32"/>
        </w:rPr>
        <w:t>项目单位：</w:t>
      </w:r>
      <w:r>
        <w:rPr>
          <w:rStyle w:val="11"/>
          <w:rFonts w:ascii="楷体_GB2312" w:hAnsi="宋体" w:eastAsia="楷体_GB2312"/>
          <w:b/>
          <w:bCs/>
          <w:color w:val="auto"/>
          <w:sz w:val="32"/>
          <w:u w:val="single"/>
        </w:rPr>
        <w:t xml:space="preserve">                           </w:t>
      </w:r>
      <w:r>
        <w:rPr>
          <w:rStyle w:val="11"/>
          <w:rFonts w:ascii="楷体_GB2312" w:hAnsi="宋体" w:eastAsia="楷体_GB2312"/>
          <w:bCs/>
          <w:color w:val="auto"/>
          <w:sz w:val="30"/>
          <w:szCs w:val="30"/>
          <w:u w:val="single"/>
        </w:rPr>
        <w:t xml:space="preserve">      </w:t>
      </w:r>
    </w:p>
    <w:p>
      <w:pPr>
        <w:snapToGrid w:val="0"/>
        <w:spacing w:line="560" w:lineRule="exact"/>
        <w:ind w:firstLine="630" w:firstLineChars="196"/>
        <w:rPr>
          <w:rStyle w:val="11"/>
          <w:rFonts w:ascii="楷体_GB2312" w:hAnsi="宋体" w:eastAsia="楷体_GB2312"/>
          <w:bCs/>
          <w:color w:val="auto"/>
          <w:sz w:val="30"/>
          <w:szCs w:val="30"/>
          <w:u w:val="single"/>
        </w:rPr>
      </w:pPr>
      <w:r>
        <w:rPr>
          <w:rStyle w:val="11"/>
          <w:rFonts w:ascii="楷体_GB2312" w:hAnsi="宋体" w:eastAsia="楷体_GB2312"/>
          <w:b/>
          <w:bCs/>
          <w:color w:val="auto"/>
          <w:sz w:val="32"/>
        </w:rPr>
        <w:t>土地出让合同编号：</w:t>
      </w:r>
      <w:r>
        <w:rPr>
          <w:rStyle w:val="11"/>
          <w:rFonts w:ascii="楷体_GB2312" w:hAnsi="宋体" w:eastAsia="楷体_GB2312"/>
          <w:b/>
          <w:bCs/>
          <w:color w:val="auto"/>
          <w:sz w:val="32"/>
          <w:u w:val="single"/>
        </w:rPr>
        <w:t xml:space="preserve">                     </w:t>
      </w:r>
      <w:r>
        <w:rPr>
          <w:rStyle w:val="11"/>
          <w:rFonts w:ascii="楷体_GB2312" w:hAnsi="宋体" w:eastAsia="楷体_GB2312"/>
          <w:color w:val="auto"/>
          <w:sz w:val="32"/>
          <w:u w:val="single"/>
        </w:rPr>
        <w:t xml:space="preserve"> </w:t>
      </w:r>
      <w:r>
        <w:rPr>
          <w:rStyle w:val="11"/>
          <w:rFonts w:ascii="楷体_GB2312" w:hAnsi="宋体" w:eastAsia="楷体_GB2312"/>
          <w:b/>
          <w:bCs/>
          <w:color w:val="auto"/>
          <w:sz w:val="32"/>
          <w:u w:val="single"/>
        </w:rPr>
        <w:t xml:space="preserve">   </w:t>
      </w:r>
    </w:p>
    <w:p>
      <w:pPr>
        <w:snapToGrid w:val="0"/>
        <w:spacing w:line="560" w:lineRule="exact"/>
        <w:rPr>
          <w:rStyle w:val="11"/>
          <w:rFonts w:ascii="楷体_GB2312" w:hAnsi="宋体" w:eastAsia="楷体_GB2312"/>
          <w:b/>
          <w:bCs/>
          <w:color w:val="auto"/>
          <w:sz w:val="32"/>
        </w:rPr>
      </w:pPr>
    </w:p>
    <w:p>
      <w:pPr>
        <w:snapToGrid w:val="0"/>
        <w:spacing w:line="560" w:lineRule="exact"/>
        <w:ind w:firstLine="956" w:firstLineChars="299"/>
        <w:jc w:val="center"/>
        <w:rPr>
          <w:rStyle w:val="11"/>
          <w:rFonts w:ascii="楷体_GB2312" w:hAnsi="宋体" w:eastAsia="楷体_GB2312"/>
          <w:color w:val="auto"/>
          <w:sz w:val="32"/>
        </w:rPr>
      </w:pPr>
    </w:p>
    <w:p>
      <w:pPr>
        <w:snapToGrid w:val="0"/>
        <w:spacing w:line="560" w:lineRule="exact"/>
        <w:ind w:firstLine="956" w:firstLineChars="299"/>
        <w:jc w:val="center"/>
        <w:rPr>
          <w:rStyle w:val="11"/>
          <w:rFonts w:ascii="楷体_GB2312" w:hAnsi="宋体" w:eastAsia="楷体_GB2312"/>
          <w:color w:val="auto"/>
          <w:sz w:val="32"/>
        </w:rPr>
      </w:pPr>
    </w:p>
    <w:p>
      <w:pPr>
        <w:snapToGrid w:val="0"/>
        <w:spacing w:line="560" w:lineRule="exact"/>
        <w:ind w:firstLine="956" w:firstLineChars="299"/>
        <w:jc w:val="center"/>
        <w:rPr>
          <w:rStyle w:val="11"/>
          <w:rFonts w:ascii="楷体_GB2312" w:hAnsi="宋体" w:eastAsia="楷体_GB2312"/>
          <w:color w:val="auto"/>
          <w:sz w:val="32"/>
        </w:rPr>
      </w:pPr>
    </w:p>
    <w:p>
      <w:pPr>
        <w:snapToGrid w:val="0"/>
        <w:spacing w:line="560" w:lineRule="exact"/>
        <w:rPr>
          <w:rStyle w:val="11"/>
          <w:rFonts w:ascii="楷体_GB2312" w:hAnsi="宋体" w:eastAsia="楷体_GB2312"/>
          <w:color w:val="auto"/>
          <w:sz w:val="32"/>
        </w:rPr>
      </w:pPr>
    </w:p>
    <w:p>
      <w:pPr>
        <w:snapToGrid w:val="0"/>
        <w:spacing w:line="560" w:lineRule="exact"/>
        <w:jc w:val="center"/>
        <w:rPr>
          <w:rStyle w:val="11"/>
          <w:rFonts w:ascii="楷体_GB2312" w:hAnsi="宋体" w:eastAsia="楷体_GB2312"/>
          <w:b/>
          <w:bCs/>
          <w:color w:val="auto"/>
        </w:rPr>
      </w:pPr>
      <w:r>
        <w:rPr>
          <w:rStyle w:val="11"/>
          <w:rFonts w:ascii="楷体_GB2312" w:hAnsi="宋体" w:eastAsia="楷体_GB2312"/>
          <w:b/>
          <w:bCs/>
          <w:color w:val="auto"/>
          <w:sz w:val="32"/>
        </w:rPr>
        <w:br w:type="page"/>
      </w:r>
    </w:p>
    <w:p>
      <w:pPr>
        <w:snapToGrid w:val="0"/>
        <w:spacing w:line="560" w:lineRule="exact"/>
        <w:jc w:val="center"/>
        <w:rPr>
          <w:rStyle w:val="11"/>
          <w:rFonts w:ascii="楷体_GB2312" w:hAnsi="宋体" w:eastAsia="楷体_GB2312"/>
          <w:bCs/>
          <w:color w:val="auto"/>
          <w:sz w:val="44"/>
          <w:szCs w:val="44"/>
        </w:rPr>
      </w:pPr>
      <w:r>
        <w:rPr>
          <w:rStyle w:val="11"/>
          <w:rFonts w:ascii="楷体_GB2312" w:hAnsi="宋体" w:eastAsia="楷体_GB2312"/>
          <w:bCs/>
          <w:color w:val="auto"/>
          <w:sz w:val="44"/>
          <w:szCs w:val="44"/>
        </w:rPr>
        <w:t>深圳市坪山区</w:t>
      </w:r>
    </w:p>
    <w:p>
      <w:pPr>
        <w:snapToGrid w:val="0"/>
        <w:spacing w:line="560" w:lineRule="exact"/>
        <w:jc w:val="center"/>
        <w:rPr>
          <w:rStyle w:val="11"/>
          <w:rFonts w:ascii="楷体_GB2312" w:hAnsi="宋体" w:eastAsia="楷体_GB2312"/>
          <w:bCs/>
          <w:color w:val="auto"/>
          <w:sz w:val="44"/>
          <w:szCs w:val="44"/>
        </w:rPr>
      </w:pPr>
      <w:r>
        <w:rPr>
          <w:rStyle w:val="11"/>
          <w:rFonts w:ascii="楷体_GB2312" w:hAnsi="宋体" w:eastAsia="楷体_GB2312"/>
          <w:bCs/>
          <w:color w:val="auto"/>
          <w:sz w:val="44"/>
          <w:szCs w:val="44"/>
        </w:rPr>
        <w:t>产业用地建设和使用监管协议书</w:t>
      </w:r>
    </w:p>
    <w:p>
      <w:pPr>
        <w:spacing w:line="560" w:lineRule="exact"/>
        <w:jc w:val="center"/>
        <w:rPr>
          <w:rStyle w:val="11"/>
          <w:rFonts w:ascii="楷体_GB2312" w:hAnsi="宋体" w:eastAsia="楷体_GB2312"/>
          <w:b/>
          <w:bCs/>
          <w:color w:val="auto"/>
        </w:rPr>
      </w:pPr>
      <w:r>
        <w:rPr>
          <w:rStyle w:val="11"/>
          <w:rFonts w:ascii="仿宋_GB2312" w:hAnsi="宋体" w:eastAsia="仿宋_GB2312"/>
          <w:color w:val="auto"/>
          <w:sz w:val="28"/>
          <w:szCs w:val="28"/>
        </w:rPr>
        <w:t>深坪产监协〔2020〕第   号</w:t>
      </w:r>
    </w:p>
    <w:p>
      <w:pPr>
        <w:snapToGrid w:val="0"/>
        <w:spacing w:line="560" w:lineRule="exact"/>
        <w:rPr>
          <w:rStyle w:val="11"/>
          <w:rFonts w:ascii="楷体_GB2312" w:hAnsi="宋体" w:eastAsia="楷体_GB2312"/>
          <w:b/>
          <w:bCs/>
          <w:color w:val="auto"/>
          <w:sz w:val="30"/>
          <w:szCs w:val="30"/>
        </w:rPr>
      </w:pPr>
    </w:p>
    <w:p>
      <w:pPr>
        <w:pStyle w:val="13"/>
        <w:spacing w:line="560" w:lineRule="exact"/>
        <w:ind w:firstLine="573"/>
        <w:rPr>
          <w:rStyle w:val="11"/>
          <w:rFonts w:ascii="楷体_GB2312" w:eastAsia="楷体_GB2312"/>
          <w:color w:val="auto"/>
          <w:sz w:val="30"/>
          <w:szCs w:val="30"/>
        </w:rPr>
      </w:pPr>
      <w:r>
        <w:rPr>
          <w:rStyle w:val="11"/>
          <w:rFonts w:ascii="楷体_GB2312" w:eastAsia="楷体_GB2312"/>
          <w:color w:val="auto"/>
          <w:sz w:val="30"/>
          <w:szCs w:val="30"/>
        </w:rPr>
        <w:t>为加强产业用地建设和使用管理，切实履行《深圳市土地使用权出让公告》（深土交告</w:t>
      </w:r>
      <w:r>
        <w:rPr>
          <w:rStyle w:val="11"/>
          <w:rFonts w:ascii="仿宋_GB2312" w:eastAsia="仿宋_GB2312"/>
          <w:color w:val="auto"/>
          <w:sz w:val="28"/>
          <w:szCs w:val="28"/>
        </w:rPr>
        <w:t>〔2020〕  号</w:t>
      </w:r>
      <w:r>
        <w:rPr>
          <w:rStyle w:val="11"/>
          <w:rFonts w:ascii="楷体_GB2312" w:eastAsia="楷体_GB2312"/>
          <w:color w:val="auto"/>
          <w:sz w:val="30"/>
          <w:szCs w:val="30"/>
        </w:rPr>
        <w:t>）相应宗地的项目准入条件要求及土地管理规定中对产业监管的相关要求，保证坪山区产业发展需要，经甲乙双方同意，订立本协议。</w:t>
      </w:r>
    </w:p>
    <w:p>
      <w:pPr>
        <w:snapToGrid w:val="0"/>
        <w:spacing w:line="560" w:lineRule="exact"/>
        <w:rPr>
          <w:rStyle w:val="11"/>
          <w:rFonts w:ascii="楷体_GB2312" w:hAnsi="宋体" w:eastAsia="楷体_GB2312"/>
          <w:b/>
          <w:bCs/>
          <w:color w:val="auto"/>
          <w:sz w:val="30"/>
          <w:szCs w:val="30"/>
        </w:rPr>
      </w:pPr>
    </w:p>
    <w:p>
      <w:pPr>
        <w:spacing w:line="560" w:lineRule="exact"/>
        <w:ind w:left="17" w:firstLine="602" w:firstLineChars="200"/>
        <w:rPr>
          <w:rStyle w:val="11"/>
          <w:rFonts w:ascii="楷体_GB2312" w:hAnsi="宋体" w:eastAsia="楷体_GB2312"/>
          <w:b/>
          <w:color w:val="auto"/>
          <w:sz w:val="30"/>
          <w:szCs w:val="30"/>
        </w:rPr>
      </w:pPr>
      <w:r>
        <w:rPr>
          <w:rStyle w:val="11"/>
          <w:rFonts w:ascii="楷体_GB2312" w:hAnsi="宋体" w:eastAsia="楷体_GB2312"/>
          <w:b/>
          <w:color w:val="auto"/>
          <w:sz w:val="30"/>
          <w:szCs w:val="30"/>
        </w:rPr>
        <w:t>一、本协议双方当事人</w:t>
      </w:r>
    </w:p>
    <w:p>
      <w:pPr>
        <w:spacing w:line="560" w:lineRule="exact"/>
        <w:rPr>
          <w:rStyle w:val="11"/>
          <w:rFonts w:ascii="楷体_GB2312" w:hAnsi="宋体" w:eastAsia="楷体_GB2312"/>
          <w:i/>
          <w:color w:val="auto"/>
          <w:sz w:val="30"/>
          <w:szCs w:val="30"/>
        </w:rPr>
      </w:pPr>
    </w:p>
    <w:p>
      <w:pPr>
        <w:spacing w:line="560" w:lineRule="exact"/>
        <w:ind w:left="630" w:leftChars="300"/>
        <w:rPr>
          <w:rFonts w:ascii="楷体_GB2312" w:hAnsi="宋体" w:eastAsia="楷体_GB2312"/>
          <w:color w:val="auto"/>
          <w:sz w:val="30"/>
          <w:szCs w:val="30"/>
          <w:u w:val="single"/>
        </w:rPr>
      </w:pPr>
      <w:r>
        <w:rPr>
          <w:rFonts w:hint="eastAsia" w:ascii="楷体_GB2312" w:hAnsi="宋体" w:eastAsia="楷体_GB2312"/>
          <w:color w:val="auto"/>
          <w:sz w:val="30"/>
          <w:szCs w:val="30"/>
        </w:rPr>
        <w:t>甲方：</w:t>
      </w:r>
      <w:r>
        <w:rPr>
          <w:rFonts w:hint="eastAsia" w:ascii="楷体_GB2312" w:hAnsi="宋体" w:eastAsia="楷体_GB2312"/>
          <w:color w:val="auto"/>
          <w:sz w:val="30"/>
          <w:szCs w:val="30"/>
          <w:u w:val="single"/>
        </w:rPr>
        <w:t xml:space="preserve">                                             </w:t>
      </w:r>
    </w:p>
    <w:p>
      <w:pPr>
        <w:spacing w:line="560" w:lineRule="exact"/>
        <w:ind w:left="630" w:leftChars="300"/>
        <w:rPr>
          <w:rFonts w:ascii="楷体_GB2312" w:hAnsi="宋体" w:eastAsia="楷体_GB2312"/>
          <w:color w:val="auto"/>
          <w:sz w:val="30"/>
          <w:szCs w:val="30"/>
          <w:u w:val="single"/>
        </w:rPr>
      </w:pPr>
      <w:r>
        <w:rPr>
          <w:rFonts w:hint="eastAsia" w:ascii="楷体_GB2312" w:hAnsi="宋体" w:eastAsia="楷体_GB2312"/>
          <w:color w:val="auto"/>
          <w:sz w:val="30"/>
          <w:szCs w:val="30"/>
        </w:rPr>
        <w:t>法定代表人：</w:t>
      </w:r>
      <w:r>
        <w:rPr>
          <w:rFonts w:hint="eastAsia" w:ascii="楷体_GB2312" w:hAnsi="宋体" w:eastAsia="楷体_GB2312"/>
          <w:color w:val="auto"/>
          <w:sz w:val="30"/>
          <w:szCs w:val="30"/>
          <w:u w:val="single"/>
        </w:rPr>
        <w:t xml:space="preserve">             </w:t>
      </w:r>
      <w:r>
        <w:rPr>
          <w:rFonts w:hint="eastAsia" w:ascii="楷体_GB2312" w:hAnsi="宋体" w:eastAsia="楷体_GB2312"/>
          <w:color w:val="auto"/>
          <w:sz w:val="30"/>
          <w:szCs w:val="30"/>
        </w:rPr>
        <w:t>职务：</w:t>
      </w:r>
      <w:r>
        <w:rPr>
          <w:rFonts w:hint="eastAsia" w:ascii="楷体_GB2312" w:hAnsi="宋体" w:eastAsia="楷体_GB2312"/>
          <w:color w:val="auto"/>
          <w:sz w:val="30"/>
          <w:szCs w:val="30"/>
          <w:u w:val="single"/>
        </w:rPr>
        <w:t xml:space="preserve">       </w:t>
      </w:r>
      <w:r>
        <w:rPr>
          <w:rFonts w:ascii="楷体_GB2312" w:hAnsi="宋体" w:eastAsia="楷体_GB2312"/>
          <w:color w:val="auto"/>
          <w:sz w:val="30"/>
          <w:szCs w:val="30"/>
          <w:u w:val="single"/>
        </w:rPr>
        <w:t xml:space="preserve">        </w:t>
      </w:r>
      <w:r>
        <w:rPr>
          <w:rFonts w:hint="eastAsia" w:ascii="楷体_GB2312" w:hAnsi="宋体" w:eastAsia="楷体_GB2312"/>
          <w:color w:val="auto"/>
          <w:sz w:val="30"/>
          <w:szCs w:val="30"/>
          <w:u w:val="single"/>
        </w:rPr>
        <w:t xml:space="preserve">  </w:t>
      </w:r>
      <w:r>
        <w:rPr>
          <w:rFonts w:ascii="楷体_GB2312" w:hAnsi="宋体" w:eastAsia="楷体_GB2312"/>
          <w:color w:val="auto"/>
          <w:sz w:val="30"/>
          <w:szCs w:val="30"/>
          <w:u w:val="single"/>
        </w:rPr>
        <w:t xml:space="preserve"> </w:t>
      </w:r>
      <w:r>
        <w:rPr>
          <w:rFonts w:hint="eastAsia" w:ascii="楷体_GB2312" w:hAnsi="宋体" w:eastAsia="楷体_GB2312"/>
          <w:color w:val="auto"/>
          <w:sz w:val="30"/>
          <w:szCs w:val="30"/>
          <w:u w:val="single"/>
        </w:rPr>
        <w:t xml:space="preserve"> </w:t>
      </w:r>
    </w:p>
    <w:p>
      <w:pPr>
        <w:spacing w:line="560" w:lineRule="exact"/>
        <w:ind w:left="630" w:leftChars="300"/>
        <w:rPr>
          <w:rFonts w:ascii="楷体_GB2312" w:hAnsi="宋体" w:eastAsia="楷体_GB2312"/>
          <w:color w:val="auto"/>
          <w:sz w:val="30"/>
          <w:szCs w:val="30"/>
          <w:u w:val="single"/>
        </w:rPr>
      </w:pPr>
      <w:r>
        <w:rPr>
          <w:rFonts w:hint="eastAsia" w:ascii="楷体_GB2312" w:hAnsi="宋体" w:eastAsia="楷体_GB2312"/>
          <w:color w:val="auto"/>
          <w:sz w:val="30"/>
          <w:szCs w:val="30"/>
        </w:rPr>
        <w:t>身份证号码：</w:t>
      </w:r>
      <w:r>
        <w:rPr>
          <w:rFonts w:hint="eastAsia" w:ascii="楷体_GB2312" w:hAnsi="宋体" w:eastAsia="楷体_GB2312"/>
          <w:color w:val="auto"/>
          <w:sz w:val="30"/>
          <w:szCs w:val="30"/>
          <w:u w:val="single"/>
        </w:rPr>
        <w:t xml:space="preserve">                       </w:t>
      </w:r>
      <w:r>
        <w:rPr>
          <w:rFonts w:ascii="楷体_GB2312" w:hAnsi="宋体" w:eastAsia="楷体_GB2312"/>
          <w:color w:val="auto"/>
          <w:sz w:val="30"/>
          <w:szCs w:val="30"/>
          <w:u w:val="single"/>
        </w:rPr>
        <w:t xml:space="preserve">             </w:t>
      </w:r>
      <w:r>
        <w:rPr>
          <w:rFonts w:hint="eastAsia" w:ascii="楷体_GB2312" w:hAnsi="宋体" w:eastAsia="楷体_GB2312"/>
          <w:color w:val="auto"/>
          <w:sz w:val="30"/>
          <w:szCs w:val="30"/>
          <w:u w:val="single"/>
        </w:rPr>
        <w:t xml:space="preserve">  </w:t>
      </w:r>
    </w:p>
    <w:p>
      <w:pPr>
        <w:spacing w:line="560" w:lineRule="exact"/>
        <w:ind w:left="-149" w:leftChars="-71" w:firstLine="750" w:firstLineChars="250"/>
        <w:jc w:val="left"/>
        <w:rPr>
          <w:rFonts w:ascii="楷体_GB2312" w:hAnsi="宋体" w:eastAsia="楷体_GB2312"/>
          <w:color w:val="auto"/>
          <w:sz w:val="30"/>
          <w:szCs w:val="30"/>
          <w:u w:val="single"/>
        </w:rPr>
      </w:pPr>
      <w:r>
        <w:rPr>
          <w:rFonts w:hint="eastAsia" w:ascii="楷体_GB2312" w:hAnsi="宋体" w:eastAsia="楷体_GB2312"/>
          <w:color w:val="auto"/>
          <w:sz w:val="30"/>
          <w:szCs w:val="30"/>
        </w:rPr>
        <w:t xml:space="preserve">地址: </w:t>
      </w:r>
      <w:r>
        <w:rPr>
          <w:rFonts w:hint="eastAsia" w:ascii="楷体_GB2312" w:hAnsi="宋体" w:eastAsia="楷体_GB2312"/>
          <w:color w:val="auto"/>
          <w:sz w:val="30"/>
          <w:szCs w:val="30"/>
          <w:u w:val="single"/>
        </w:rPr>
        <w:t xml:space="preserve">                                            </w:t>
      </w:r>
    </w:p>
    <w:p>
      <w:pPr>
        <w:spacing w:line="560" w:lineRule="exact"/>
        <w:ind w:left="-149" w:leftChars="-71" w:firstLine="750" w:firstLineChars="250"/>
        <w:jc w:val="left"/>
        <w:rPr>
          <w:rFonts w:ascii="楷体_GB2312" w:hAnsi="宋体" w:eastAsia="楷体_GB2312"/>
          <w:color w:val="auto"/>
          <w:sz w:val="30"/>
          <w:szCs w:val="30"/>
          <w:u w:val="single"/>
        </w:rPr>
      </w:pPr>
      <w:r>
        <w:rPr>
          <w:rFonts w:hint="eastAsia" w:ascii="楷体_GB2312" w:hAnsi="宋体" w:eastAsia="楷体_GB2312"/>
          <w:color w:val="auto"/>
          <w:sz w:val="30"/>
          <w:szCs w:val="30"/>
        </w:rPr>
        <w:t>电话：</w:t>
      </w:r>
      <w:r>
        <w:rPr>
          <w:rFonts w:hint="eastAsia" w:ascii="楷体_GB2312" w:hAnsi="宋体" w:eastAsia="楷体_GB2312"/>
          <w:color w:val="auto"/>
          <w:sz w:val="30"/>
          <w:szCs w:val="30"/>
          <w:u w:val="single"/>
        </w:rPr>
        <w:t xml:space="preserve">             </w:t>
      </w:r>
      <w:r>
        <w:rPr>
          <w:rFonts w:hint="eastAsia" w:ascii="楷体_GB2312" w:hAnsi="宋体" w:eastAsia="楷体_GB2312"/>
          <w:color w:val="auto"/>
          <w:sz w:val="30"/>
          <w:szCs w:val="30"/>
        </w:rPr>
        <w:t xml:space="preserve"> </w:t>
      </w:r>
    </w:p>
    <w:p>
      <w:pPr>
        <w:spacing w:line="560" w:lineRule="exact"/>
        <w:rPr>
          <w:rFonts w:ascii="楷体_GB2312" w:hAnsi="宋体" w:eastAsia="楷体_GB2312"/>
          <w:color w:val="auto"/>
          <w:sz w:val="30"/>
          <w:szCs w:val="30"/>
        </w:rPr>
      </w:pPr>
    </w:p>
    <w:p>
      <w:pPr>
        <w:spacing w:line="560" w:lineRule="exact"/>
        <w:ind w:left="630" w:leftChars="300"/>
        <w:rPr>
          <w:rFonts w:ascii="楷体_GB2312" w:hAnsi="宋体" w:eastAsia="楷体_GB2312"/>
          <w:color w:val="auto"/>
          <w:sz w:val="30"/>
          <w:szCs w:val="30"/>
          <w:u w:val="single"/>
        </w:rPr>
      </w:pPr>
      <w:r>
        <w:rPr>
          <w:rFonts w:hint="eastAsia" w:ascii="楷体_GB2312" w:hAnsi="宋体" w:eastAsia="楷体_GB2312"/>
          <w:color w:val="auto"/>
          <w:sz w:val="30"/>
          <w:szCs w:val="30"/>
        </w:rPr>
        <w:t>乙方（土地竞得者）：</w:t>
      </w:r>
      <w:r>
        <w:rPr>
          <w:rFonts w:hint="eastAsia" w:ascii="楷体_GB2312" w:hAnsi="宋体" w:eastAsia="楷体_GB2312"/>
          <w:color w:val="auto"/>
          <w:sz w:val="30"/>
          <w:szCs w:val="30"/>
          <w:u w:val="single"/>
        </w:rPr>
        <w:t xml:space="preserve">                                </w:t>
      </w:r>
    </w:p>
    <w:p>
      <w:pPr>
        <w:spacing w:line="560" w:lineRule="exact"/>
        <w:ind w:left="630" w:leftChars="300"/>
        <w:rPr>
          <w:rFonts w:ascii="楷体_GB2312" w:hAnsi="宋体" w:eastAsia="楷体_GB2312"/>
          <w:color w:val="auto"/>
          <w:sz w:val="30"/>
          <w:szCs w:val="30"/>
        </w:rPr>
      </w:pPr>
      <w:r>
        <w:rPr>
          <w:rFonts w:hint="eastAsia" w:ascii="楷体_GB2312" w:hAnsi="宋体" w:eastAsia="楷体_GB2312"/>
          <w:color w:val="auto"/>
          <w:sz w:val="30"/>
          <w:szCs w:val="30"/>
        </w:rPr>
        <w:t>统一社会信用代码：</w:t>
      </w:r>
      <w:r>
        <w:rPr>
          <w:rFonts w:hint="eastAsia" w:ascii="楷体_GB2312" w:hAnsi="宋体" w:eastAsia="楷体_GB2312"/>
          <w:color w:val="auto"/>
          <w:sz w:val="30"/>
          <w:szCs w:val="30"/>
          <w:u w:val="single"/>
        </w:rPr>
        <w:t xml:space="preserve">                                 </w:t>
      </w:r>
    </w:p>
    <w:p>
      <w:pPr>
        <w:spacing w:line="560" w:lineRule="exact"/>
        <w:ind w:firstLine="600" w:firstLineChars="200"/>
        <w:rPr>
          <w:rFonts w:ascii="楷体_GB2312" w:hAnsi="宋体" w:eastAsia="楷体_GB2312"/>
          <w:color w:val="auto"/>
          <w:sz w:val="30"/>
          <w:szCs w:val="30"/>
        </w:rPr>
      </w:pPr>
      <w:r>
        <w:rPr>
          <w:rFonts w:hint="eastAsia" w:ascii="楷体_GB2312" w:hAnsi="宋体" w:eastAsia="楷体_GB2312"/>
          <w:color w:val="auto"/>
          <w:sz w:val="30"/>
          <w:szCs w:val="30"/>
        </w:rPr>
        <w:t>法定代表人：</w:t>
      </w:r>
      <w:r>
        <w:rPr>
          <w:rFonts w:hint="eastAsia" w:ascii="楷体_GB2312" w:hAnsi="宋体" w:eastAsia="楷体_GB2312"/>
          <w:color w:val="auto"/>
          <w:sz w:val="30"/>
          <w:szCs w:val="30"/>
          <w:u w:val="single"/>
        </w:rPr>
        <w:t xml:space="preserve">             </w:t>
      </w:r>
      <w:r>
        <w:rPr>
          <w:rFonts w:hint="eastAsia" w:ascii="楷体_GB2312" w:hAnsi="宋体" w:eastAsia="楷体_GB2312"/>
          <w:color w:val="auto"/>
          <w:sz w:val="30"/>
          <w:szCs w:val="30"/>
        </w:rPr>
        <w:t>职务：</w:t>
      </w:r>
      <w:r>
        <w:rPr>
          <w:rFonts w:hint="eastAsia" w:ascii="楷体_GB2312" w:hAnsi="宋体" w:eastAsia="楷体_GB2312"/>
          <w:color w:val="auto"/>
          <w:sz w:val="30"/>
          <w:szCs w:val="30"/>
          <w:u w:val="single"/>
        </w:rPr>
        <w:t xml:space="preserve">                     </w:t>
      </w:r>
    </w:p>
    <w:p>
      <w:pPr>
        <w:spacing w:line="560" w:lineRule="exact"/>
        <w:ind w:firstLine="600" w:firstLineChars="200"/>
        <w:rPr>
          <w:rFonts w:ascii="楷体_GB2312" w:hAnsi="宋体" w:eastAsia="楷体_GB2312"/>
          <w:color w:val="auto"/>
          <w:sz w:val="30"/>
          <w:szCs w:val="30"/>
          <w:u w:val="single"/>
        </w:rPr>
      </w:pPr>
      <w:r>
        <w:rPr>
          <w:rFonts w:hint="eastAsia" w:ascii="楷体_GB2312" w:hAnsi="宋体" w:eastAsia="楷体_GB2312"/>
          <w:color w:val="auto"/>
          <w:sz w:val="30"/>
          <w:szCs w:val="30"/>
        </w:rPr>
        <w:t>身份证号码：</w:t>
      </w:r>
      <w:r>
        <w:rPr>
          <w:rFonts w:hint="eastAsia" w:ascii="楷体_GB2312" w:hAnsi="宋体" w:eastAsia="楷体_GB2312"/>
          <w:color w:val="auto"/>
          <w:sz w:val="30"/>
          <w:szCs w:val="30"/>
          <w:u w:val="single"/>
        </w:rPr>
        <w:t xml:space="preserve">                                        </w:t>
      </w:r>
    </w:p>
    <w:p>
      <w:pPr>
        <w:tabs>
          <w:tab w:val="left" w:pos="5220"/>
        </w:tabs>
        <w:spacing w:line="560" w:lineRule="exact"/>
        <w:ind w:firstLine="600" w:firstLineChars="200"/>
        <w:rPr>
          <w:rFonts w:ascii="楷体_GB2312" w:hAnsi="宋体" w:eastAsia="楷体_GB2312"/>
          <w:color w:val="auto"/>
          <w:position w:val="-32"/>
          <w:sz w:val="30"/>
          <w:szCs w:val="30"/>
        </w:rPr>
      </w:pPr>
      <w:r>
        <w:rPr>
          <w:rFonts w:hint="eastAsia" w:ascii="楷体_GB2312" w:hAnsi="宋体" w:eastAsia="楷体_GB2312"/>
          <w:color w:val="auto"/>
          <w:sz w:val="30"/>
          <w:szCs w:val="30"/>
        </w:rPr>
        <w:t xml:space="preserve">地址： </w:t>
      </w:r>
      <w:r>
        <w:rPr>
          <w:rFonts w:hint="eastAsia" w:ascii="楷体_GB2312" w:hAnsi="宋体" w:eastAsia="楷体_GB2312"/>
          <w:color w:val="auto"/>
          <w:sz w:val="30"/>
          <w:szCs w:val="30"/>
          <w:u w:val="single"/>
        </w:rPr>
        <w:t xml:space="preserve">                                     </w:t>
      </w:r>
      <w:r>
        <w:rPr>
          <w:rFonts w:ascii="楷体_GB2312" w:hAnsi="宋体" w:eastAsia="楷体_GB2312"/>
          <w:color w:val="auto"/>
          <w:sz w:val="30"/>
          <w:szCs w:val="30"/>
          <w:u w:val="single"/>
        </w:rPr>
        <w:t xml:space="preserve">       </w:t>
      </w:r>
      <w:r>
        <w:rPr>
          <w:rFonts w:hint="eastAsia" w:ascii="楷体_GB2312" w:hAnsi="宋体" w:eastAsia="楷体_GB2312"/>
          <w:color w:val="auto"/>
          <w:sz w:val="30"/>
          <w:szCs w:val="30"/>
          <w:u w:val="single"/>
        </w:rPr>
        <w:t xml:space="preserve"> </w:t>
      </w:r>
    </w:p>
    <w:p>
      <w:pPr>
        <w:tabs>
          <w:tab w:val="left" w:pos="2700"/>
        </w:tabs>
        <w:spacing w:line="560" w:lineRule="exact"/>
        <w:ind w:firstLine="600" w:firstLineChars="200"/>
        <w:rPr>
          <w:rFonts w:ascii="楷体_GB2312" w:eastAsia="楷体_GB2312"/>
          <w:color w:val="auto"/>
          <w:sz w:val="30"/>
          <w:szCs w:val="30"/>
        </w:rPr>
      </w:pPr>
      <w:r>
        <w:rPr>
          <w:rFonts w:hint="eastAsia" w:ascii="楷体_GB2312" w:hAnsi="宋体" w:eastAsia="楷体_GB2312"/>
          <w:color w:val="auto"/>
          <w:sz w:val="30"/>
          <w:szCs w:val="30"/>
        </w:rPr>
        <w:t>电</w:t>
      </w:r>
      <w:r>
        <w:rPr>
          <w:rFonts w:hint="eastAsia" w:ascii="楷体_GB2312" w:hAnsi="宋体" w:eastAsia="楷体_GB2312"/>
          <w:color w:val="auto"/>
          <w:sz w:val="32"/>
          <w:szCs w:val="30"/>
        </w:rPr>
        <w:t>话：</w:t>
      </w:r>
      <w:r>
        <w:rPr>
          <w:rFonts w:hint="eastAsia" w:ascii="楷体_GB2312" w:hAnsi="宋体" w:eastAsia="楷体_GB2312"/>
          <w:color w:val="auto"/>
          <w:sz w:val="32"/>
          <w:szCs w:val="30"/>
          <w:u w:val="single"/>
        </w:rPr>
        <w:t xml:space="preserve">            </w:t>
      </w:r>
    </w:p>
    <w:p>
      <w:pPr>
        <w:numPr>
          <w:ilvl w:val="0"/>
          <w:numId w:val="1"/>
        </w:numPr>
        <w:spacing w:line="560" w:lineRule="exact"/>
        <w:rPr>
          <w:rStyle w:val="11"/>
          <w:rFonts w:ascii="楷体_GB2312" w:hAnsi="宋体" w:eastAsia="楷体_GB2312"/>
          <w:b/>
          <w:bCs/>
          <w:color w:val="auto"/>
          <w:sz w:val="30"/>
          <w:szCs w:val="30"/>
        </w:rPr>
      </w:pPr>
      <w:r>
        <w:rPr>
          <w:rStyle w:val="11"/>
          <w:rFonts w:ascii="楷体_GB2312" w:hAnsi="宋体" w:eastAsia="楷体_GB2312"/>
          <w:b/>
          <w:bCs/>
          <w:color w:val="auto"/>
          <w:sz w:val="30"/>
          <w:szCs w:val="30"/>
        </w:rPr>
        <w:t>地块基本情况</w:t>
      </w:r>
    </w:p>
    <w:p>
      <w:pPr>
        <w:spacing w:line="560" w:lineRule="exact"/>
        <w:ind w:left="447" w:leftChars="213" w:firstLine="120" w:firstLineChars="40"/>
        <w:rPr>
          <w:rStyle w:val="11"/>
          <w:rFonts w:ascii="楷体_GB2312" w:hAnsi="宋体" w:eastAsia="楷体_GB2312"/>
          <w:bCs/>
          <w:color w:val="auto"/>
          <w:spacing w:val="-20"/>
          <w:sz w:val="30"/>
          <w:szCs w:val="30"/>
        </w:rPr>
      </w:pPr>
      <w:r>
        <w:rPr>
          <w:rStyle w:val="11"/>
          <w:rFonts w:ascii="楷体_GB2312" w:hAnsi="宋体" w:eastAsia="楷体_GB2312"/>
          <w:bCs/>
          <w:color w:val="auto"/>
          <w:sz w:val="30"/>
          <w:szCs w:val="30"/>
        </w:rPr>
        <w:t>宗地编号/用地方案号：</w:t>
      </w:r>
      <w:r>
        <w:rPr>
          <w:rStyle w:val="11"/>
          <w:rFonts w:ascii="楷体_GB2312" w:hAnsi="宋体" w:eastAsia="楷体_GB2312"/>
          <w:bCs/>
          <w:color w:val="auto"/>
          <w:sz w:val="30"/>
          <w:szCs w:val="30"/>
          <w:u w:val="single"/>
        </w:rPr>
        <w:t xml:space="preserve">                       </w:t>
      </w:r>
      <w:r>
        <w:rPr>
          <w:rStyle w:val="11"/>
          <w:rFonts w:ascii="楷体_GB2312" w:hAnsi="宋体" w:eastAsia="楷体_GB2312"/>
          <w:bCs/>
          <w:color w:val="auto"/>
          <w:spacing w:val="-20"/>
          <w:sz w:val="30"/>
          <w:szCs w:val="30"/>
          <w:u w:val="single"/>
        </w:rPr>
        <w:t xml:space="preserve"> </w:t>
      </w:r>
    </w:p>
    <w:p>
      <w:pPr>
        <w:spacing w:line="560" w:lineRule="exact"/>
        <w:ind w:left="2367" w:leftChars="270" w:hanging="1800" w:hangingChars="600"/>
        <w:rPr>
          <w:rStyle w:val="11"/>
          <w:rFonts w:ascii="楷体_GB2312" w:hAnsi="宋体" w:eastAsia="楷体_GB2312"/>
          <w:color w:val="auto"/>
          <w:sz w:val="32"/>
          <w:szCs w:val="32"/>
          <w:u w:val="single"/>
        </w:rPr>
      </w:pPr>
      <w:r>
        <w:rPr>
          <w:rStyle w:val="11"/>
          <w:rFonts w:ascii="楷体_GB2312" w:hAnsi="宋体" w:eastAsia="楷体_GB2312"/>
          <w:bCs/>
          <w:color w:val="auto"/>
          <w:sz w:val="30"/>
          <w:szCs w:val="30"/>
        </w:rPr>
        <w:t>土地位置：</w:t>
      </w:r>
      <w:r>
        <w:rPr>
          <w:rStyle w:val="11"/>
          <w:rFonts w:ascii="楷体_GB2312" w:hAnsi="宋体" w:eastAsia="楷体_GB2312"/>
          <w:bCs/>
          <w:color w:val="auto"/>
          <w:sz w:val="30"/>
          <w:szCs w:val="30"/>
          <w:u w:val="single"/>
        </w:rPr>
        <w:t xml:space="preserve">              </w:t>
      </w:r>
    </w:p>
    <w:p>
      <w:pPr>
        <w:spacing w:line="560" w:lineRule="exact"/>
        <w:ind w:left="567" w:leftChars="270"/>
        <w:rPr>
          <w:rStyle w:val="11"/>
          <w:rFonts w:ascii="楷体_GB2312" w:hAnsi="宋体" w:eastAsia="楷体_GB2312"/>
          <w:bCs/>
          <w:color w:val="auto"/>
          <w:sz w:val="30"/>
          <w:szCs w:val="30"/>
        </w:rPr>
      </w:pPr>
      <w:r>
        <w:rPr>
          <w:rStyle w:val="11"/>
          <w:rFonts w:ascii="楷体_GB2312" w:hAnsi="宋体" w:eastAsia="楷体_GB2312"/>
          <w:bCs/>
          <w:color w:val="auto"/>
          <w:sz w:val="30"/>
          <w:szCs w:val="30"/>
        </w:rPr>
        <w:t>土地用途：</w:t>
      </w:r>
      <w:r>
        <w:rPr>
          <w:rStyle w:val="11"/>
          <w:rFonts w:ascii="楷体_GB2312" w:hAnsi="宋体" w:eastAsia="楷体_GB2312"/>
          <w:bCs/>
          <w:color w:val="auto"/>
          <w:sz w:val="30"/>
          <w:szCs w:val="30"/>
          <w:u w:val="single"/>
        </w:rPr>
        <w:t xml:space="preserve"> 普通工业用地 </w:t>
      </w:r>
    </w:p>
    <w:p>
      <w:pPr>
        <w:ind w:firstLine="600" w:firstLineChars="200"/>
        <w:rPr>
          <w:rStyle w:val="11"/>
          <w:rFonts w:ascii="楷体_GB2312" w:hAnsi="宋体" w:eastAsia="楷体_GB2312" w:cstheme="minorBidi"/>
          <w:bCs/>
          <w:color w:val="auto"/>
          <w:sz w:val="30"/>
          <w:szCs w:val="30"/>
          <w:u w:val="single"/>
        </w:rPr>
      </w:pPr>
      <w:r>
        <w:rPr>
          <w:rStyle w:val="11"/>
          <w:rFonts w:ascii="楷体_GB2312" w:hAnsi="宋体" w:eastAsia="楷体_GB2312"/>
          <w:bCs/>
          <w:color w:val="auto"/>
          <w:sz w:val="30"/>
          <w:szCs w:val="30"/>
        </w:rPr>
        <w:t>总用地面积（平方米）：</w:t>
      </w:r>
      <w:r>
        <w:rPr>
          <w:rStyle w:val="11"/>
          <w:rFonts w:hint="eastAsia" w:ascii="楷体_GB2312" w:hAnsi="宋体" w:eastAsia="楷体_GB2312"/>
          <w:bCs/>
          <w:color w:val="auto"/>
          <w:sz w:val="30"/>
          <w:szCs w:val="30"/>
        </w:rPr>
        <w:t xml:space="preserve">  </w:t>
      </w:r>
      <w:r>
        <w:rPr>
          <w:rStyle w:val="11"/>
          <w:rFonts w:ascii="楷体_GB2312" w:hAnsi="宋体" w:eastAsia="楷体_GB2312"/>
          <w:bCs/>
          <w:color w:val="auto"/>
          <w:spacing w:val="-20"/>
          <w:sz w:val="30"/>
          <w:szCs w:val="30"/>
          <w:u w:val="single"/>
        </w:rPr>
        <w:t xml:space="preserve">  </w:t>
      </w:r>
    </w:p>
    <w:p>
      <w:pPr>
        <w:tabs>
          <w:tab w:val="left" w:pos="5220"/>
          <w:tab w:val="left" w:pos="5400"/>
          <w:tab w:val="left" w:pos="5580"/>
        </w:tabs>
        <w:spacing w:line="560" w:lineRule="exact"/>
        <w:ind w:firstLine="570"/>
        <w:rPr>
          <w:rStyle w:val="11"/>
          <w:rFonts w:ascii="楷体_GB2312" w:hAnsi="宋体" w:eastAsia="楷体_GB2312"/>
          <w:bCs/>
          <w:color w:val="auto"/>
          <w:sz w:val="30"/>
          <w:szCs w:val="30"/>
          <w:u w:val="single"/>
        </w:rPr>
      </w:pPr>
      <w:r>
        <w:rPr>
          <w:rStyle w:val="11"/>
          <w:rFonts w:ascii="楷体_GB2312" w:hAnsi="宋体" w:eastAsia="楷体_GB2312"/>
          <w:bCs/>
          <w:color w:val="auto"/>
          <w:sz w:val="30"/>
          <w:szCs w:val="30"/>
        </w:rPr>
        <w:t>总建筑面积（平方米）：</w:t>
      </w:r>
      <w:r>
        <w:rPr>
          <w:rStyle w:val="11"/>
          <w:rFonts w:ascii="楷体_GB2312" w:hAnsi="宋体" w:eastAsia="楷体_GB2312"/>
          <w:bCs/>
          <w:color w:val="auto"/>
          <w:spacing w:val="-20"/>
          <w:sz w:val="30"/>
          <w:szCs w:val="30"/>
          <w:u w:val="single"/>
        </w:rPr>
        <w:t xml:space="preserve"> </w:t>
      </w:r>
      <w:r>
        <w:rPr>
          <w:rStyle w:val="11"/>
          <w:rFonts w:hint="eastAsia" w:ascii="楷体_GB2312" w:hAnsi="宋体" w:eastAsia="楷体_GB2312"/>
          <w:bCs/>
          <w:color w:val="auto"/>
          <w:spacing w:val="-20"/>
          <w:sz w:val="30"/>
          <w:szCs w:val="30"/>
          <w:u w:val="single"/>
        </w:rPr>
        <w:t xml:space="preserve">     </w:t>
      </w:r>
      <w:r>
        <w:rPr>
          <w:rStyle w:val="11"/>
          <w:rFonts w:ascii="楷体_GB2312" w:hAnsi="宋体" w:eastAsia="楷体_GB2312"/>
          <w:bCs/>
          <w:color w:val="auto"/>
          <w:spacing w:val="-20"/>
          <w:sz w:val="30"/>
          <w:szCs w:val="30"/>
          <w:u w:val="single"/>
        </w:rPr>
        <w:t xml:space="preserve"> </w:t>
      </w:r>
    </w:p>
    <w:p>
      <w:pPr>
        <w:tabs>
          <w:tab w:val="left" w:pos="7200"/>
        </w:tabs>
        <w:spacing w:line="560" w:lineRule="exact"/>
        <w:ind w:firstLine="600" w:firstLineChars="200"/>
        <w:rPr>
          <w:rStyle w:val="11"/>
          <w:rFonts w:ascii="楷体_GB2312" w:hAnsi="宋体" w:eastAsia="楷体_GB2312"/>
          <w:bCs/>
          <w:color w:val="auto"/>
          <w:sz w:val="30"/>
          <w:szCs w:val="30"/>
          <w:u w:val="single"/>
        </w:rPr>
      </w:pPr>
      <w:r>
        <w:rPr>
          <w:rStyle w:val="11"/>
          <w:rFonts w:ascii="楷体_GB2312" w:hAnsi="宋体" w:eastAsia="楷体_GB2312"/>
          <w:bCs/>
          <w:color w:val="auto"/>
          <w:sz w:val="30"/>
          <w:szCs w:val="30"/>
        </w:rPr>
        <w:t>项目名称：</w:t>
      </w:r>
      <w:r>
        <w:rPr>
          <w:rStyle w:val="11"/>
          <w:rFonts w:ascii="楷体_GB2312" w:hAnsi="宋体" w:eastAsia="楷体_GB2312"/>
          <w:color w:val="auto"/>
          <w:sz w:val="30"/>
          <w:szCs w:val="30"/>
          <w:u w:val="single"/>
        </w:rPr>
        <w:t xml:space="preserve">                      </w:t>
      </w:r>
    </w:p>
    <w:p>
      <w:pPr>
        <w:spacing w:line="560" w:lineRule="exact"/>
        <w:ind w:firstLine="570"/>
        <w:rPr>
          <w:rStyle w:val="11"/>
          <w:rFonts w:ascii="楷体_GB2312" w:hAnsi="宋体" w:eastAsia="楷体_GB2312"/>
          <w:color w:val="auto"/>
          <w:sz w:val="30"/>
          <w:szCs w:val="30"/>
        </w:rPr>
      </w:pPr>
      <w:r>
        <w:rPr>
          <w:rStyle w:val="11"/>
          <w:rFonts w:ascii="楷体_GB2312" w:hAnsi="宋体" w:eastAsia="楷体_GB2312"/>
          <w:color w:val="auto"/>
          <w:sz w:val="30"/>
          <w:szCs w:val="30"/>
        </w:rPr>
        <w:t>项目总投资额（万元）：</w:t>
      </w:r>
      <w:r>
        <w:rPr>
          <w:rStyle w:val="11"/>
          <w:rFonts w:ascii="楷体_GB2312" w:hAnsi="宋体" w:eastAsia="楷体_GB2312"/>
          <w:color w:val="auto"/>
          <w:sz w:val="30"/>
          <w:szCs w:val="30"/>
          <w:u w:val="single"/>
        </w:rPr>
        <w:t xml:space="preserve">          </w:t>
      </w:r>
    </w:p>
    <w:p>
      <w:pPr>
        <w:spacing w:line="560" w:lineRule="exact"/>
        <w:ind w:firstLine="570"/>
        <w:rPr>
          <w:rStyle w:val="11"/>
          <w:rFonts w:ascii="楷体_GB2312" w:hAnsi="宋体" w:eastAsia="楷体_GB2312"/>
          <w:bCs/>
          <w:color w:val="auto"/>
          <w:sz w:val="30"/>
          <w:szCs w:val="30"/>
          <w:u w:val="single"/>
        </w:rPr>
      </w:pPr>
      <w:r>
        <w:rPr>
          <w:rStyle w:val="11"/>
          <w:rFonts w:ascii="楷体_GB2312" w:hAnsi="宋体" w:eastAsia="楷体_GB2312"/>
          <w:bCs/>
          <w:color w:val="auto"/>
          <w:sz w:val="30"/>
          <w:szCs w:val="30"/>
        </w:rPr>
        <w:t>土地使用年期（年）：</w:t>
      </w:r>
      <w:r>
        <w:rPr>
          <w:rStyle w:val="11"/>
          <w:rFonts w:ascii="楷体_GB2312" w:hAnsi="宋体" w:eastAsia="楷体_GB2312"/>
          <w:bCs/>
          <w:color w:val="auto"/>
          <w:sz w:val="30"/>
          <w:szCs w:val="30"/>
          <w:u w:val="single"/>
        </w:rPr>
        <w:t xml:space="preserve">  20         </w:t>
      </w:r>
    </w:p>
    <w:p>
      <w:pPr>
        <w:spacing w:line="560" w:lineRule="exact"/>
        <w:rPr>
          <w:rStyle w:val="11"/>
          <w:rFonts w:ascii="楷体_GB2312" w:hAnsi="宋体" w:eastAsia="楷体_GB2312"/>
          <w:bCs/>
          <w:color w:val="auto"/>
          <w:sz w:val="30"/>
          <w:szCs w:val="30"/>
        </w:rPr>
      </w:pPr>
    </w:p>
    <w:p>
      <w:pPr>
        <w:pStyle w:val="13"/>
        <w:spacing w:line="560" w:lineRule="exact"/>
        <w:ind w:firstLine="590" w:firstLineChars="196"/>
        <w:rPr>
          <w:rStyle w:val="11"/>
          <w:rFonts w:ascii="楷体_GB2312" w:eastAsia="楷体_GB2312"/>
          <w:color w:val="auto"/>
          <w:sz w:val="30"/>
          <w:szCs w:val="30"/>
        </w:rPr>
      </w:pPr>
      <w:r>
        <w:rPr>
          <w:rStyle w:val="11"/>
          <w:rFonts w:ascii="楷体_GB2312" w:eastAsia="楷体_GB2312"/>
          <w:b/>
          <w:color w:val="auto"/>
          <w:sz w:val="30"/>
          <w:szCs w:val="30"/>
        </w:rPr>
        <w:t>三、甲方权利和义务</w:t>
      </w:r>
    </w:p>
    <w:p>
      <w:pPr>
        <w:spacing w:line="560" w:lineRule="exact"/>
        <w:ind w:firstLine="600" w:firstLineChars="200"/>
        <w:rPr>
          <w:rStyle w:val="11"/>
          <w:rFonts w:ascii="楷体_GB2312" w:hAnsi="宋体" w:eastAsia="楷体_GB2312"/>
          <w:color w:val="auto"/>
          <w:sz w:val="30"/>
          <w:szCs w:val="30"/>
        </w:rPr>
      </w:pPr>
      <w:r>
        <w:rPr>
          <w:rStyle w:val="11"/>
          <w:rFonts w:ascii="楷体_GB2312" w:hAnsi="宋体" w:eastAsia="楷体_GB2312"/>
          <w:color w:val="auto"/>
          <w:sz w:val="30"/>
          <w:szCs w:val="30"/>
        </w:rPr>
        <w:t>（一）甲方根据深圳市和坪山区产业政策和发展要求，为产业用地项目提供指导性服务。</w:t>
      </w:r>
    </w:p>
    <w:p>
      <w:pPr>
        <w:spacing w:line="560" w:lineRule="exact"/>
        <w:ind w:firstLine="570"/>
        <w:rPr>
          <w:rStyle w:val="11"/>
          <w:rFonts w:ascii="楷体_GB2312" w:hAnsi="宋体" w:eastAsia="楷体_GB2312"/>
          <w:color w:val="auto"/>
          <w:sz w:val="30"/>
          <w:szCs w:val="30"/>
        </w:rPr>
      </w:pPr>
      <w:r>
        <w:rPr>
          <w:rStyle w:val="11"/>
          <w:rFonts w:ascii="楷体_GB2312" w:hAnsi="宋体" w:eastAsia="楷体_GB2312"/>
          <w:color w:val="auto"/>
          <w:sz w:val="30"/>
          <w:szCs w:val="30"/>
        </w:rPr>
        <w:t>（二）乙方上述项目建设、施工及竣工后，甲方有权自行或委托专业机构按照本协议书核查项目的履约情况，若乙方违反本协议有关约定，甲方有权追究乙方的违约责任。</w:t>
      </w:r>
    </w:p>
    <w:p>
      <w:pPr>
        <w:spacing w:line="560" w:lineRule="exact"/>
        <w:ind w:firstLine="570"/>
        <w:rPr>
          <w:rStyle w:val="11"/>
          <w:rFonts w:ascii="楷体_GB2312" w:hAnsi="宋体" w:eastAsia="楷体_GB2312"/>
          <w:color w:val="auto"/>
          <w:sz w:val="30"/>
          <w:szCs w:val="30"/>
        </w:rPr>
      </w:pPr>
      <w:r>
        <w:rPr>
          <w:rStyle w:val="11"/>
          <w:rFonts w:ascii="楷体_GB2312" w:hAnsi="宋体" w:eastAsia="楷体_GB2312"/>
          <w:color w:val="auto"/>
          <w:sz w:val="30"/>
          <w:szCs w:val="30"/>
        </w:rPr>
        <w:t>（三）甲方有权随时要求乙方提供阶段性工作进展汇报，就项目建设、施工过程中产生的问题进行解释、制定解决方案，汇报方案实施效果。</w:t>
      </w:r>
    </w:p>
    <w:p>
      <w:pPr>
        <w:spacing w:line="560" w:lineRule="exact"/>
        <w:ind w:firstLine="570"/>
        <w:rPr>
          <w:rStyle w:val="11"/>
          <w:rFonts w:ascii="楷体_GB2312" w:hAnsi="宋体" w:eastAsia="楷体_GB2312"/>
          <w:color w:val="auto"/>
          <w:sz w:val="30"/>
          <w:szCs w:val="30"/>
        </w:rPr>
      </w:pPr>
      <w:r>
        <w:rPr>
          <w:rStyle w:val="11"/>
          <w:rFonts w:ascii="楷体_GB2312" w:hAnsi="宋体" w:eastAsia="楷体_GB2312"/>
          <w:color w:val="auto"/>
          <w:sz w:val="30"/>
          <w:szCs w:val="30"/>
        </w:rPr>
        <w:t>（四）</w:t>
      </w:r>
      <w:r>
        <w:rPr>
          <w:rStyle w:val="11"/>
          <w:rFonts w:ascii="楷体_GB2312" w:hAnsi="Arial" w:eastAsia="楷体_GB2312"/>
          <w:color w:val="auto"/>
          <w:kern w:val="0"/>
          <w:sz w:val="30"/>
          <w:szCs w:val="30"/>
        </w:rPr>
        <w:t>乙方注册地址不在坪山区的，甲方在符合有关法律规定的情况下支持乙方将注册地址依法变更到坪山区范围内。</w:t>
      </w:r>
    </w:p>
    <w:p>
      <w:pPr>
        <w:spacing w:line="560" w:lineRule="exact"/>
        <w:ind w:firstLine="602" w:firstLineChars="200"/>
        <w:rPr>
          <w:rStyle w:val="11"/>
          <w:rFonts w:ascii="楷体_GB2312" w:hAnsi="宋体" w:eastAsia="楷体_GB2312"/>
          <w:b/>
          <w:bCs/>
          <w:color w:val="auto"/>
          <w:sz w:val="30"/>
          <w:szCs w:val="30"/>
        </w:rPr>
      </w:pPr>
    </w:p>
    <w:p>
      <w:pPr>
        <w:spacing w:line="560" w:lineRule="exact"/>
        <w:ind w:firstLine="602" w:firstLineChars="200"/>
        <w:rPr>
          <w:rStyle w:val="11"/>
          <w:rFonts w:ascii="楷体_GB2312" w:hAnsi="宋体" w:eastAsia="楷体_GB2312"/>
          <w:b/>
          <w:bCs/>
          <w:color w:val="auto"/>
          <w:sz w:val="30"/>
          <w:szCs w:val="30"/>
        </w:rPr>
      </w:pPr>
      <w:r>
        <w:rPr>
          <w:rStyle w:val="11"/>
          <w:rFonts w:ascii="楷体_GB2312" w:hAnsi="宋体" w:eastAsia="楷体_GB2312"/>
          <w:b/>
          <w:bCs/>
          <w:color w:val="auto"/>
          <w:sz w:val="30"/>
          <w:szCs w:val="30"/>
        </w:rPr>
        <w:t>四、乙方权利和义务</w:t>
      </w:r>
    </w:p>
    <w:p>
      <w:pPr>
        <w:spacing w:line="560" w:lineRule="exact"/>
        <w:ind w:firstLine="600" w:firstLineChars="200"/>
        <w:rPr>
          <w:rStyle w:val="11"/>
          <w:rFonts w:ascii="楷体_GB2312" w:hAnsi="宋体" w:eastAsia="楷体_GB2312"/>
          <w:color w:val="auto"/>
          <w:sz w:val="30"/>
          <w:szCs w:val="30"/>
        </w:rPr>
      </w:pPr>
      <w:r>
        <w:rPr>
          <w:rStyle w:val="11"/>
          <w:rFonts w:ascii="楷体_GB2312" w:hAnsi="宋体" w:eastAsia="楷体_GB2312"/>
          <w:color w:val="auto"/>
          <w:sz w:val="30"/>
          <w:szCs w:val="30"/>
        </w:rPr>
        <w:t>（一）乙方竞买取得的上述产业用地只能用于本协议第二条“地块基本情况”中约定项目的建设。</w:t>
      </w:r>
    </w:p>
    <w:p>
      <w:pPr>
        <w:spacing w:line="560" w:lineRule="exact"/>
        <w:ind w:firstLine="540" w:firstLineChars="180"/>
        <w:rPr>
          <w:rStyle w:val="11"/>
          <w:rFonts w:ascii="楷体_GB2312" w:hAnsi="宋体" w:eastAsia="楷体_GB2312"/>
          <w:color w:val="auto"/>
          <w:sz w:val="30"/>
          <w:szCs w:val="30"/>
        </w:rPr>
      </w:pPr>
      <w:r>
        <w:rPr>
          <w:rStyle w:val="11"/>
          <w:rFonts w:ascii="楷体_GB2312" w:hAnsi="宋体" w:eastAsia="楷体_GB2312"/>
          <w:color w:val="auto"/>
          <w:sz w:val="30"/>
          <w:szCs w:val="30"/>
        </w:rPr>
        <w:t>地块基本情况经有关部门批准发生变动的，乙方应在获批准后30日内，向甲方申请办理地块基本情况变动备案，甲方将视情形与乙方签署产业监管协议补充协议。</w:t>
      </w:r>
    </w:p>
    <w:p>
      <w:pPr>
        <w:spacing w:line="560" w:lineRule="exact"/>
        <w:ind w:firstLine="600" w:firstLineChars="200"/>
        <w:rPr>
          <w:rFonts w:ascii="楷体_GB2312" w:hAnsi="宋体" w:eastAsia="楷体_GB2312"/>
          <w:color w:val="auto"/>
          <w:sz w:val="30"/>
          <w:szCs w:val="30"/>
        </w:rPr>
      </w:pPr>
      <w:r>
        <w:rPr>
          <w:rStyle w:val="11"/>
          <w:rFonts w:ascii="楷体_GB2312" w:hAnsi="宋体" w:eastAsia="楷体_GB2312"/>
          <w:color w:val="auto"/>
          <w:sz w:val="30"/>
          <w:szCs w:val="30"/>
        </w:rPr>
        <w:t>（二）</w:t>
      </w:r>
      <w:r>
        <w:rPr>
          <w:rStyle w:val="11"/>
          <w:rFonts w:ascii="楷体_GB2312" w:hAnsi="宋体" w:eastAsia="楷体_GB2312"/>
          <w:color w:val="auto"/>
          <w:sz w:val="30"/>
          <w:szCs w:val="30"/>
        </w:rPr>
        <w:t>乙方承诺上述宗地的</w:t>
      </w:r>
      <w:r>
        <w:rPr>
          <w:rFonts w:hint="eastAsia" w:ascii="楷体_GB2312" w:hAnsi="宋体" w:eastAsia="楷体_GB2312"/>
          <w:color w:val="auto"/>
          <w:sz w:val="30"/>
          <w:szCs w:val="30"/>
        </w:rPr>
        <w:t>建设项目竣工验收合格并取得建设部门出具的《竣工验收备案收文回执》</w:t>
      </w:r>
      <w:r>
        <w:rPr>
          <w:rFonts w:hint="eastAsia" w:ascii="楷体_GB2312" w:hAnsi="宋体" w:eastAsia="楷体_GB2312"/>
          <w:color w:val="auto"/>
          <w:sz w:val="30"/>
          <w:szCs w:val="30"/>
          <w:u w:val="single"/>
          <w:lang w:val="en-US" w:eastAsia="zh-CN"/>
        </w:rPr>
        <w:t>2</w:t>
      </w:r>
      <w:r>
        <w:rPr>
          <w:rFonts w:hint="eastAsia" w:ascii="楷体_GB2312" w:hAnsi="宋体" w:eastAsia="楷体_GB2312"/>
          <w:color w:val="auto"/>
          <w:sz w:val="30"/>
          <w:szCs w:val="30"/>
        </w:rPr>
        <w:t>年内，项目固定资产投资强度（单位土地面积上的固定资产投资额，包括厂房、设备和地价款）不低于</w:t>
      </w:r>
      <w:r>
        <w:rPr>
          <w:rFonts w:hint="eastAsia" w:ascii="楷体_GB2312" w:hAnsi="宋体" w:eastAsia="楷体_GB2312"/>
          <w:color w:val="auto"/>
          <w:sz w:val="30"/>
          <w:szCs w:val="30"/>
          <w:u w:val="single"/>
        </w:rPr>
        <w:t xml:space="preserve"> </w:t>
      </w:r>
      <w:r>
        <w:rPr>
          <w:rFonts w:hint="eastAsia" w:ascii="楷体_GB2312" w:hAnsi="宋体" w:eastAsia="楷体_GB2312"/>
          <w:color w:val="auto"/>
          <w:sz w:val="30"/>
          <w:szCs w:val="30"/>
          <w:u w:val="single"/>
          <w:lang w:val="en-US" w:eastAsia="zh-CN"/>
        </w:rPr>
        <w:t xml:space="preserve">20000 </w:t>
      </w:r>
      <w:r>
        <w:rPr>
          <w:rFonts w:hint="eastAsia" w:ascii="楷体_GB2312" w:hAnsi="宋体" w:eastAsia="楷体_GB2312"/>
          <w:color w:val="auto"/>
          <w:sz w:val="30"/>
          <w:szCs w:val="30"/>
        </w:rPr>
        <w:t>元/平方米；</w:t>
      </w:r>
    </w:p>
    <w:p>
      <w:pPr>
        <w:spacing w:line="560" w:lineRule="exact"/>
        <w:ind w:firstLine="540" w:firstLineChars="180"/>
        <w:rPr>
          <w:rStyle w:val="11"/>
          <w:rFonts w:ascii="楷体_GB2312" w:hAnsi="宋体" w:eastAsia="楷体_GB2312"/>
          <w:color w:val="auto"/>
          <w:sz w:val="30"/>
          <w:szCs w:val="30"/>
        </w:rPr>
      </w:pPr>
      <w:r>
        <w:rPr>
          <w:rStyle w:val="11"/>
          <w:rFonts w:ascii="楷体_GB2312" w:hAnsi="宋体" w:eastAsia="楷体_GB2312"/>
          <w:color w:val="auto"/>
          <w:sz w:val="30"/>
          <w:szCs w:val="30"/>
        </w:rPr>
        <w:t>（三）</w:t>
      </w:r>
      <w:r>
        <w:rPr>
          <w:rStyle w:val="11"/>
          <w:rFonts w:ascii="楷体_GB2312" w:hAnsi="Arial" w:eastAsia="楷体_GB2312"/>
          <w:color w:val="auto"/>
          <w:kern w:val="0"/>
          <w:sz w:val="30"/>
          <w:szCs w:val="30"/>
        </w:rPr>
        <w:t>乙方注册地址不在坪山区的，</w:t>
      </w:r>
      <w:r>
        <w:rPr>
          <w:rStyle w:val="11"/>
          <w:rFonts w:ascii="楷体_GB2312" w:hAnsi="宋体" w:eastAsia="楷体_GB2312"/>
          <w:color w:val="auto"/>
          <w:sz w:val="30"/>
          <w:szCs w:val="30"/>
        </w:rPr>
        <w:t>乙方在签订土地使用权出让合同后3个月内办理完成变更注册地址到坪山区的手续。</w:t>
      </w:r>
    </w:p>
    <w:p>
      <w:pPr>
        <w:spacing w:line="560" w:lineRule="exact"/>
        <w:ind w:firstLine="570"/>
        <w:rPr>
          <w:rStyle w:val="11"/>
          <w:rFonts w:ascii="楷体_GB2312" w:hAnsi="宋体" w:eastAsia="楷体_GB2312"/>
          <w:color w:val="auto"/>
          <w:sz w:val="30"/>
          <w:szCs w:val="30"/>
        </w:rPr>
      </w:pPr>
      <w:r>
        <w:rPr>
          <w:rStyle w:val="11"/>
          <w:rFonts w:ascii="楷体_GB2312" w:hAnsi="宋体" w:eastAsia="楷体_GB2312"/>
          <w:color w:val="auto"/>
          <w:sz w:val="30"/>
          <w:szCs w:val="30"/>
        </w:rPr>
        <w:t>（四）乙方承诺土地出让年期内企业注册地址不变更到坪山区以外的地区。</w:t>
      </w:r>
    </w:p>
    <w:p>
      <w:pPr>
        <w:spacing w:line="560" w:lineRule="exact"/>
        <w:ind w:firstLine="540" w:firstLineChars="180"/>
        <w:rPr>
          <w:rStyle w:val="11"/>
          <w:rFonts w:ascii="楷体_GB2312" w:hAnsi="宋体" w:eastAsia="楷体_GB2312"/>
          <w:color w:val="auto"/>
          <w:sz w:val="30"/>
          <w:szCs w:val="30"/>
        </w:rPr>
      </w:pPr>
      <w:r>
        <w:rPr>
          <w:rStyle w:val="11"/>
          <w:rFonts w:ascii="楷体_GB2312" w:hAnsi="宋体" w:eastAsia="楷体_GB2312"/>
          <w:color w:val="auto"/>
          <w:sz w:val="30"/>
          <w:szCs w:val="30"/>
        </w:rPr>
        <w:t>（五）乙方应出具其公司股东会决议作为本协议附件，乙方及</w:t>
      </w:r>
      <w:r>
        <w:rPr>
          <w:rStyle w:val="11"/>
          <w:rFonts w:hint="eastAsia" w:ascii="楷体_GB2312" w:hAnsi="宋体" w:eastAsia="楷体_GB2312"/>
          <w:color w:val="auto"/>
          <w:sz w:val="30"/>
          <w:szCs w:val="30"/>
        </w:rPr>
        <w:t>主要</w:t>
      </w:r>
      <w:r>
        <w:rPr>
          <w:rStyle w:val="11"/>
          <w:rFonts w:ascii="楷体_GB2312" w:hAnsi="宋体" w:eastAsia="楷体_GB2312"/>
          <w:color w:val="auto"/>
          <w:sz w:val="30"/>
          <w:szCs w:val="30"/>
        </w:rPr>
        <w:t>股东应承诺在未取得坪山区政府及相关土地行政主管部门同意的情况下，乙方的主要股东出资比例、</w:t>
      </w:r>
      <w:r>
        <w:rPr>
          <w:rStyle w:val="11"/>
          <w:rFonts w:hint="eastAsia" w:ascii="楷体_GB2312" w:hAnsi="宋体" w:eastAsia="楷体_GB2312"/>
          <w:color w:val="auto"/>
          <w:sz w:val="30"/>
          <w:szCs w:val="30"/>
        </w:rPr>
        <w:t>乙方</w:t>
      </w:r>
      <w:r>
        <w:rPr>
          <w:rStyle w:val="11"/>
          <w:rFonts w:ascii="楷体_GB2312" w:hAnsi="宋体" w:eastAsia="楷体_GB2312"/>
          <w:color w:val="auto"/>
          <w:sz w:val="30"/>
          <w:szCs w:val="30"/>
        </w:rPr>
        <w:t>公司股权结构不擅自发生变动。</w:t>
      </w:r>
    </w:p>
    <w:p>
      <w:pPr>
        <w:spacing w:line="560" w:lineRule="exact"/>
        <w:ind w:firstLine="540" w:firstLineChars="180"/>
        <w:rPr>
          <w:rStyle w:val="11"/>
          <w:rFonts w:ascii="楷体_GB2312" w:hAnsi="宋体" w:eastAsia="楷体_GB2312"/>
          <w:color w:val="auto"/>
          <w:sz w:val="30"/>
          <w:szCs w:val="30"/>
        </w:rPr>
      </w:pPr>
      <w:r>
        <w:rPr>
          <w:rStyle w:val="11"/>
          <w:rFonts w:ascii="楷体_GB2312" w:hAnsi="宋体" w:eastAsia="楷体_GB2312"/>
          <w:color w:val="auto"/>
          <w:sz w:val="30"/>
          <w:szCs w:val="30"/>
        </w:rPr>
        <w:t>（</w:t>
      </w:r>
      <w:r>
        <w:rPr>
          <w:rStyle w:val="11"/>
          <w:rFonts w:hint="eastAsia" w:ascii="楷体_GB2312" w:hAnsi="宋体" w:eastAsia="楷体_GB2312"/>
          <w:color w:val="auto"/>
          <w:sz w:val="30"/>
          <w:szCs w:val="30"/>
          <w:lang w:val="en-US" w:eastAsia="zh-CN"/>
        </w:rPr>
        <w:t>六</w:t>
      </w:r>
      <w:r>
        <w:rPr>
          <w:rStyle w:val="11"/>
          <w:rFonts w:ascii="楷体_GB2312" w:hAnsi="宋体" w:eastAsia="楷体_GB2312"/>
          <w:color w:val="auto"/>
          <w:sz w:val="30"/>
          <w:szCs w:val="30"/>
        </w:rPr>
        <w:t>）乙方承诺引进的企业产值能耗（单位工业总产值的能耗量）符合国家、省、市相关政策和法律法规要求。</w:t>
      </w:r>
    </w:p>
    <w:p>
      <w:pPr>
        <w:spacing w:line="560" w:lineRule="exact"/>
        <w:ind w:firstLine="540" w:firstLineChars="180"/>
        <w:rPr>
          <w:rStyle w:val="11"/>
          <w:rFonts w:ascii="楷体_GB2312" w:hAnsi="宋体" w:eastAsia="楷体_GB2312"/>
          <w:color w:val="auto"/>
          <w:sz w:val="30"/>
          <w:szCs w:val="30"/>
        </w:rPr>
      </w:pPr>
      <w:r>
        <w:rPr>
          <w:rStyle w:val="11"/>
          <w:rFonts w:ascii="楷体_GB2312" w:hAnsi="宋体" w:eastAsia="楷体_GB2312"/>
          <w:color w:val="auto"/>
          <w:sz w:val="30"/>
          <w:szCs w:val="30"/>
        </w:rPr>
        <w:t>（</w:t>
      </w:r>
      <w:r>
        <w:rPr>
          <w:rStyle w:val="11"/>
          <w:rFonts w:hint="eastAsia" w:ascii="楷体_GB2312" w:hAnsi="宋体" w:eastAsia="楷体_GB2312"/>
          <w:color w:val="auto"/>
          <w:sz w:val="30"/>
          <w:szCs w:val="30"/>
          <w:lang w:val="en-US" w:eastAsia="zh-CN"/>
        </w:rPr>
        <w:t>七</w:t>
      </w:r>
      <w:r>
        <w:rPr>
          <w:rStyle w:val="11"/>
          <w:rFonts w:ascii="楷体_GB2312" w:hAnsi="宋体" w:eastAsia="楷体_GB2312"/>
          <w:color w:val="auto"/>
          <w:sz w:val="30"/>
          <w:szCs w:val="30"/>
        </w:rPr>
        <w:t>）</w:t>
      </w:r>
      <w:r>
        <w:rPr>
          <w:rStyle w:val="11"/>
          <w:rFonts w:hint="eastAsia" w:ascii="楷体_GB2312" w:hAnsi="宋体" w:eastAsia="楷体_GB2312"/>
          <w:color w:val="auto"/>
          <w:sz w:val="30"/>
          <w:szCs w:val="30"/>
        </w:rPr>
        <w:t>本宗地建设项目实行“全方位、全年限”监管机制，乙方应完全履行本协议中的义务，甲方可对乙方的履约情况进行定期或不定期核查，履约核查未通过的，乙方应根据本协议以及甲方的要求限期进行整改，并向甲方提交书面整改报告。</w:t>
      </w:r>
    </w:p>
    <w:p>
      <w:pPr>
        <w:spacing w:line="560" w:lineRule="exact"/>
        <w:ind w:firstLine="582" w:firstLineChars="194"/>
        <w:textAlignment w:val="auto"/>
        <w:rPr>
          <w:rStyle w:val="11"/>
          <w:rFonts w:ascii="楷体_GB2312" w:hAnsi="宋体" w:eastAsia="楷体_GB2312"/>
          <w:color w:val="auto"/>
          <w:sz w:val="30"/>
          <w:szCs w:val="30"/>
        </w:rPr>
      </w:pPr>
      <w:r>
        <w:rPr>
          <w:rStyle w:val="11"/>
          <w:rFonts w:ascii="楷体_GB2312" w:hAnsi="宋体" w:eastAsia="楷体_GB2312"/>
          <w:color w:val="auto"/>
          <w:sz w:val="30"/>
          <w:szCs w:val="30"/>
        </w:rPr>
        <w:t>（</w:t>
      </w:r>
      <w:r>
        <w:rPr>
          <w:rStyle w:val="11"/>
          <w:rFonts w:hint="eastAsia" w:ascii="楷体_GB2312" w:hAnsi="宋体" w:eastAsia="楷体_GB2312"/>
          <w:color w:val="auto"/>
          <w:sz w:val="30"/>
          <w:szCs w:val="30"/>
          <w:lang w:val="en-US" w:eastAsia="zh-CN"/>
        </w:rPr>
        <w:t>八</w:t>
      </w:r>
      <w:r>
        <w:rPr>
          <w:rStyle w:val="11"/>
          <w:rFonts w:ascii="楷体_GB2312" w:hAnsi="宋体" w:eastAsia="楷体_GB2312"/>
          <w:color w:val="auto"/>
          <w:sz w:val="30"/>
          <w:szCs w:val="30"/>
        </w:rPr>
        <w:t>）</w:t>
      </w:r>
      <w:r>
        <w:rPr>
          <w:rStyle w:val="11"/>
          <w:rFonts w:ascii="楷体_GB2312" w:hAnsi="宋体" w:eastAsia="楷体_GB2312"/>
          <w:color w:val="auto"/>
          <w:sz w:val="30"/>
          <w:szCs w:val="30"/>
        </w:rPr>
        <w:t>该宗地上的项目建成使用（竣工验收合格并取得建设部门出具的《竣工验收备案收文回执》）后，如乙方在该宗地块自主开展生产项目，乙方纳入坪山区统计的年度产值规模（营业收入）首次达到100亿元时视为项目达产，项目达产时间应为该宗地的建设项目竣工验收合格并取得建设部门出具的《竣工验收备案收文回执》后的1年内，同时该生产项目应在5个连续会计年度内，产值均达到</w:t>
      </w:r>
      <w:r>
        <w:rPr>
          <w:rStyle w:val="11"/>
          <w:rFonts w:ascii="楷体_GB2312" w:hAnsi="宋体" w:eastAsia="楷体_GB2312"/>
          <w:color w:val="auto"/>
          <w:sz w:val="30"/>
          <w:szCs w:val="30"/>
          <w:u w:val="single"/>
        </w:rPr>
        <w:t>100亿</w:t>
      </w:r>
      <w:r>
        <w:rPr>
          <w:rStyle w:val="11"/>
          <w:rFonts w:ascii="楷体_GB2312" w:hAnsi="宋体" w:eastAsia="楷体_GB2312"/>
          <w:color w:val="auto"/>
          <w:sz w:val="30"/>
          <w:szCs w:val="30"/>
        </w:rPr>
        <w:t>元以上，年税收需达到</w:t>
      </w:r>
      <w:r>
        <w:rPr>
          <w:rStyle w:val="11"/>
          <w:rFonts w:ascii="楷体_GB2312" w:hAnsi="宋体" w:eastAsia="楷体_GB2312"/>
          <w:color w:val="auto"/>
          <w:sz w:val="30"/>
          <w:szCs w:val="30"/>
          <w:u w:val="single"/>
        </w:rPr>
        <w:t>5亿</w:t>
      </w:r>
      <w:r>
        <w:rPr>
          <w:rStyle w:val="11"/>
          <w:rFonts w:ascii="楷体_GB2312" w:hAnsi="宋体" w:eastAsia="楷体_GB2312"/>
          <w:color w:val="auto"/>
          <w:sz w:val="30"/>
          <w:szCs w:val="30"/>
        </w:rPr>
        <w:t>元以上；</w:t>
      </w:r>
      <w:r>
        <w:rPr>
          <w:rStyle w:val="11"/>
          <w:rFonts w:hint="eastAsia" w:ascii="楷体_GB2312" w:hAnsi="宋体" w:eastAsia="楷体_GB2312"/>
          <w:color w:val="auto"/>
          <w:sz w:val="30"/>
          <w:szCs w:val="30"/>
        </w:rPr>
        <w:t>如乙方开展租赁业务，需经甲方书面同意，同时乙方或乙方主要股东需拥有</w:t>
      </w:r>
      <w:r>
        <w:rPr>
          <w:rStyle w:val="11"/>
          <w:rFonts w:hint="eastAsia" w:ascii="楷体_GB2312" w:hAnsi="宋体" w:eastAsia="楷体_GB2312"/>
          <w:color w:val="auto"/>
          <w:sz w:val="30"/>
          <w:szCs w:val="30"/>
          <w:lang w:val="en-US" w:eastAsia="zh-CN"/>
        </w:rPr>
        <w:t>5</w:t>
      </w:r>
      <w:r>
        <w:rPr>
          <w:rStyle w:val="11"/>
          <w:rFonts w:hint="eastAsia" w:ascii="楷体_GB2312" w:hAnsi="宋体" w:eastAsia="楷体_GB2312"/>
          <w:color w:val="auto"/>
          <w:sz w:val="30"/>
          <w:szCs w:val="30"/>
        </w:rPr>
        <w:t>年</w:t>
      </w:r>
      <w:r>
        <w:rPr>
          <w:rStyle w:val="11"/>
          <w:rFonts w:hint="eastAsia" w:ascii="楷体_GB2312" w:hAnsi="宋体" w:eastAsia="楷体_GB2312"/>
          <w:color w:val="auto"/>
          <w:sz w:val="30"/>
          <w:szCs w:val="30"/>
          <w:lang w:val="en-US" w:eastAsia="zh-CN"/>
        </w:rPr>
        <w:t>及</w:t>
      </w:r>
      <w:r>
        <w:rPr>
          <w:rStyle w:val="11"/>
          <w:rFonts w:hint="eastAsia" w:ascii="楷体_GB2312" w:hAnsi="宋体" w:eastAsia="楷体_GB2312"/>
          <w:color w:val="auto"/>
          <w:sz w:val="30"/>
          <w:szCs w:val="30"/>
        </w:rPr>
        <w:t>以上产业园运营经验，</w:t>
      </w:r>
      <w:r>
        <w:rPr>
          <w:rStyle w:val="11"/>
          <w:rFonts w:hint="eastAsia" w:ascii="楷体_GB2312" w:hAnsi="宋体" w:eastAsia="楷体_GB2312"/>
          <w:color w:val="auto"/>
          <w:sz w:val="30"/>
          <w:szCs w:val="30"/>
          <w:lang w:val="en-US" w:eastAsia="zh-CN"/>
        </w:rPr>
        <w:t>在</w:t>
      </w:r>
      <w:r>
        <w:rPr>
          <w:rStyle w:val="11"/>
          <w:rFonts w:hint="eastAsia" w:ascii="楷体_GB2312" w:hAnsi="宋体" w:eastAsia="楷体_GB2312"/>
          <w:color w:val="auto"/>
          <w:sz w:val="30"/>
          <w:szCs w:val="30"/>
        </w:rPr>
        <w:t>取得建设部门出具的《竣工验收备案收文回执》后</w:t>
      </w:r>
      <w:r>
        <w:rPr>
          <w:rStyle w:val="11"/>
          <w:rFonts w:hint="eastAsia" w:ascii="楷体_GB2312" w:hAnsi="宋体" w:eastAsia="楷体_GB2312"/>
          <w:color w:val="auto"/>
          <w:sz w:val="30"/>
          <w:szCs w:val="30"/>
          <w:u w:val="single"/>
        </w:rPr>
        <w:t>5年</w:t>
      </w:r>
      <w:r>
        <w:rPr>
          <w:rStyle w:val="11"/>
          <w:rFonts w:hint="eastAsia" w:ascii="楷体_GB2312" w:hAnsi="宋体" w:eastAsia="楷体_GB2312"/>
          <w:color w:val="auto"/>
          <w:sz w:val="30"/>
          <w:szCs w:val="30"/>
        </w:rPr>
        <w:t>内至少有一个自然年度乙方租赁对象纳入坪山区统计的年度产值规模需达到</w:t>
      </w:r>
      <w:r>
        <w:rPr>
          <w:rStyle w:val="11"/>
          <w:rFonts w:hint="eastAsia" w:ascii="楷体_GB2312" w:hAnsi="宋体" w:eastAsia="楷体_GB2312"/>
          <w:color w:val="auto"/>
          <w:sz w:val="30"/>
          <w:szCs w:val="30"/>
          <w:u w:val="single"/>
          <w:lang w:val="en-US" w:eastAsia="zh-CN"/>
        </w:rPr>
        <w:t>7</w:t>
      </w:r>
      <w:r>
        <w:rPr>
          <w:rStyle w:val="11"/>
          <w:rFonts w:hint="eastAsia" w:ascii="楷体_GB2312" w:hAnsi="宋体" w:eastAsia="楷体_GB2312"/>
          <w:color w:val="auto"/>
          <w:sz w:val="30"/>
          <w:szCs w:val="30"/>
          <w:u w:val="single"/>
        </w:rPr>
        <w:t>亿元</w:t>
      </w:r>
      <w:r>
        <w:rPr>
          <w:rStyle w:val="11"/>
          <w:rFonts w:hint="eastAsia" w:ascii="楷体_GB2312" w:hAnsi="宋体" w:eastAsia="楷体_GB2312"/>
          <w:color w:val="auto"/>
          <w:sz w:val="30"/>
          <w:szCs w:val="30"/>
        </w:rPr>
        <w:t>以上，年税收需达到</w:t>
      </w:r>
      <w:r>
        <w:rPr>
          <w:rStyle w:val="11"/>
          <w:rFonts w:hint="eastAsia" w:ascii="楷体_GB2312" w:hAnsi="宋体" w:eastAsia="楷体_GB2312"/>
          <w:color w:val="auto"/>
          <w:sz w:val="30"/>
          <w:szCs w:val="30"/>
          <w:u w:val="single"/>
        </w:rPr>
        <w:t>3</w:t>
      </w:r>
      <w:r>
        <w:rPr>
          <w:rStyle w:val="11"/>
          <w:rFonts w:hint="eastAsia" w:ascii="楷体_GB2312" w:hAnsi="宋体" w:eastAsia="楷体_GB2312"/>
          <w:color w:val="auto"/>
          <w:sz w:val="30"/>
          <w:szCs w:val="30"/>
          <w:u w:val="single"/>
          <w:lang w:val="en-US" w:eastAsia="zh-CN"/>
        </w:rPr>
        <w:t>100</w:t>
      </w:r>
      <w:r>
        <w:rPr>
          <w:rStyle w:val="11"/>
          <w:rFonts w:hint="eastAsia" w:ascii="楷体_GB2312" w:hAnsi="宋体" w:eastAsia="楷体_GB2312"/>
          <w:color w:val="auto"/>
          <w:sz w:val="30"/>
          <w:szCs w:val="30"/>
          <w:u w:val="single"/>
        </w:rPr>
        <w:t>万元</w:t>
      </w:r>
      <w:r>
        <w:rPr>
          <w:rStyle w:val="11"/>
          <w:rFonts w:hint="eastAsia" w:ascii="楷体_GB2312" w:hAnsi="宋体" w:eastAsia="楷体_GB2312"/>
          <w:color w:val="auto"/>
          <w:sz w:val="30"/>
          <w:szCs w:val="30"/>
        </w:rPr>
        <w:t>以上；</w:t>
      </w:r>
      <w:r>
        <w:rPr>
          <w:rStyle w:val="11"/>
          <w:rFonts w:hint="eastAsia" w:ascii="楷体_GB2312" w:hAnsi="宋体" w:eastAsia="楷体_GB2312"/>
          <w:color w:val="auto"/>
          <w:sz w:val="30"/>
          <w:szCs w:val="30"/>
          <w:lang w:val="en-US" w:eastAsia="zh-CN"/>
        </w:rPr>
        <w:t>在</w:t>
      </w:r>
      <w:r>
        <w:rPr>
          <w:rStyle w:val="11"/>
          <w:rFonts w:hint="eastAsia" w:ascii="楷体_GB2312" w:hAnsi="宋体" w:eastAsia="楷体_GB2312"/>
          <w:color w:val="auto"/>
          <w:sz w:val="30"/>
          <w:szCs w:val="30"/>
        </w:rPr>
        <w:t>取得建设部门出具的《竣工验收备案收文回执》后</w:t>
      </w:r>
      <w:r>
        <w:rPr>
          <w:rStyle w:val="11"/>
          <w:rFonts w:hint="eastAsia" w:ascii="楷体_GB2312" w:hAnsi="宋体" w:eastAsia="楷体_GB2312"/>
          <w:color w:val="auto"/>
          <w:sz w:val="30"/>
          <w:szCs w:val="30"/>
          <w:u w:val="single"/>
        </w:rPr>
        <w:t>10年</w:t>
      </w:r>
      <w:r>
        <w:rPr>
          <w:rStyle w:val="11"/>
          <w:rFonts w:hint="eastAsia" w:ascii="楷体_GB2312" w:hAnsi="宋体" w:eastAsia="楷体_GB2312"/>
          <w:color w:val="auto"/>
          <w:sz w:val="30"/>
          <w:szCs w:val="30"/>
        </w:rPr>
        <w:t>内至少有一个自然年度乙方租赁对象纳入坪山区统计的年度产值规模需达</w:t>
      </w:r>
      <w:bookmarkStart w:id="0" w:name="_GoBack"/>
      <w:bookmarkEnd w:id="0"/>
      <w:r>
        <w:rPr>
          <w:rStyle w:val="11"/>
          <w:rFonts w:hint="eastAsia" w:ascii="楷体_GB2312" w:hAnsi="宋体" w:eastAsia="楷体_GB2312"/>
          <w:color w:val="auto"/>
          <w:sz w:val="30"/>
          <w:szCs w:val="30"/>
        </w:rPr>
        <w:t>到</w:t>
      </w:r>
      <w:r>
        <w:rPr>
          <w:rStyle w:val="11"/>
          <w:rFonts w:hint="eastAsia" w:ascii="楷体_GB2312" w:hAnsi="宋体" w:eastAsia="楷体_GB2312"/>
          <w:color w:val="auto"/>
          <w:sz w:val="30"/>
          <w:szCs w:val="30"/>
          <w:u w:val="single"/>
        </w:rPr>
        <w:t>1</w:t>
      </w:r>
      <w:r>
        <w:rPr>
          <w:rStyle w:val="11"/>
          <w:rFonts w:hint="eastAsia" w:ascii="楷体_GB2312" w:hAnsi="宋体" w:eastAsia="楷体_GB2312"/>
          <w:color w:val="auto"/>
          <w:sz w:val="30"/>
          <w:szCs w:val="30"/>
          <w:u w:val="single"/>
          <w:lang w:val="en-US" w:eastAsia="zh-CN"/>
        </w:rPr>
        <w:t>0</w:t>
      </w:r>
      <w:r>
        <w:rPr>
          <w:rStyle w:val="11"/>
          <w:rFonts w:hint="eastAsia" w:ascii="楷体_GB2312" w:hAnsi="宋体" w:eastAsia="楷体_GB2312"/>
          <w:color w:val="auto"/>
          <w:sz w:val="30"/>
          <w:szCs w:val="30"/>
          <w:u w:val="single"/>
        </w:rPr>
        <w:t>亿元</w:t>
      </w:r>
      <w:r>
        <w:rPr>
          <w:rStyle w:val="11"/>
          <w:rFonts w:hint="eastAsia" w:ascii="楷体_GB2312" w:hAnsi="宋体" w:eastAsia="楷体_GB2312"/>
          <w:color w:val="auto"/>
          <w:sz w:val="30"/>
          <w:szCs w:val="30"/>
        </w:rPr>
        <w:t>以上，年税收需达到</w:t>
      </w:r>
      <w:r>
        <w:rPr>
          <w:rStyle w:val="11"/>
          <w:rFonts w:hint="eastAsia" w:ascii="楷体_GB2312" w:hAnsi="宋体" w:eastAsia="楷体_GB2312"/>
          <w:color w:val="auto"/>
          <w:sz w:val="30"/>
          <w:szCs w:val="30"/>
          <w:u w:val="single"/>
          <w:lang w:val="en-US" w:eastAsia="zh-CN"/>
        </w:rPr>
        <w:t>4500</w:t>
      </w:r>
      <w:r>
        <w:rPr>
          <w:rStyle w:val="11"/>
          <w:rFonts w:hint="eastAsia" w:ascii="楷体_GB2312" w:hAnsi="宋体" w:eastAsia="楷体_GB2312"/>
          <w:color w:val="auto"/>
          <w:sz w:val="30"/>
          <w:szCs w:val="30"/>
          <w:u w:val="single"/>
        </w:rPr>
        <w:t>万元</w:t>
      </w:r>
      <w:r>
        <w:rPr>
          <w:rStyle w:val="11"/>
          <w:rFonts w:hint="eastAsia" w:ascii="楷体_GB2312" w:hAnsi="宋体" w:eastAsia="楷体_GB2312"/>
          <w:color w:val="auto"/>
          <w:sz w:val="30"/>
          <w:szCs w:val="30"/>
        </w:rPr>
        <w:t>以上，且租赁对象中注册地在坪山区或在租赁物业后</w:t>
      </w:r>
      <w:r>
        <w:rPr>
          <w:rStyle w:val="11"/>
          <w:rFonts w:hint="eastAsia" w:ascii="楷体_GB2312" w:hAnsi="宋体" w:eastAsia="楷体_GB2312"/>
          <w:color w:val="auto"/>
          <w:sz w:val="30"/>
          <w:szCs w:val="30"/>
          <w:u w:val="single"/>
        </w:rPr>
        <w:t>6个月</w:t>
      </w:r>
      <w:r>
        <w:rPr>
          <w:rStyle w:val="11"/>
          <w:rFonts w:hint="eastAsia" w:ascii="楷体_GB2312" w:hAnsi="宋体" w:eastAsia="楷体_GB2312"/>
          <w:color w:val="auto"/>
          <w:sz w:val="30"/>
          <w:szCs w:val="30"/>
        </w:rPr>
        <w:t>内将注册地迁入坪山区的租赁面积不低于乙方出租面积的80%（以规划建筑面积为准），同时不低于80%的租赁对象为生物产业类。租赁对象应符合以下条件之一：</w:t>
      </w:r>
    </w:p>
    <w:p>
      <w:pPr>
        <w:spacing w:line="560" w:lineRule="exact"/>
        <w:ind w:firstLine="600" w:firstLineChars="200"/>
        <w:rPr>
          <w:rStyle w:val="11"/>
          <w:rFonts w:hint="eastAsia" w:ascii="楷体_GB2312" w:hAnsi="宋体" w:eastAsia="楷体_GB2312"/>
          <w:color w:val="auto"/>
          <w:sz w:val="30"/>
          <w:szCs w:val="30"/>
          <w:lang w:val="en-US" w:eastAsia="zh-CN"/>
        </w:rPr>
      </w:pPr>
      <w:r>
        <w:rPr>
          <w:rStyle w:val="11"/>
          <w:rFonts w:hint="eastAsia" w:ascii="楷体_GB2312" w:hAnsi="宋体" w:eastAsia="楷体_GB2312"/>
          <w:color w:val="auto"/>
          <w:sz w:val="30"/>
          <w:szCs w:val="30"/>
        </w:rPr>
        <w:t>1.属于生物产业（《深圳市产业结构调整优化和产业导向目录(2016年修订）》A01，下同）的并符合以下条件之一的企业：（1）企业、创始人或核心团队人员持有已获授权的相关发明专利或实用新型专利；（2）获得深圳市高新技术企业或国家高新技术企业证书的企业；（3）全球500强、国内500强企业设立的子公司；（4）独角兽（以科技部火炬中心公布的独角兽企业榜单为准）及地级市以上认定的准独角兽企业及所设立的子公司；（5）入选《胡润中国》的瞪羚企业及所设立的子公司。</w:t>
      </w:r>
    </w:p>
    <w:p>
      <w:pPr>
        <w:numPr>
          <w:ilvl w:val="-1"/>
          <w:numId w:val="0"/>
        </w:numPr>
        <w:spacing w:line="560" w:lineRule="exact"/>
        <w:ind w:firstLine="600" w:firstLineChars="200"/>
        <w:rPr>
          <w:rStyle w:val="11"/>
          <w:rFonts w:ascii="楷体_GB2312" w:hAnsi="宋体" w:eastAsia="楷体_GB2312"/>
          <w:color w:val="auto"/>
          <w:sz w:val="30"/>
          <w:szCs w:val="30"/>
        </w:rPr>
      </w:pPr>
      <w:r>
        <w:rPr>
          <w:rStyle w:val="11"/>
          <w:rFonts w:hint="eastAsia" w:ascii="楷体_GB2312" w:hAnsi="宋体" w:eastAsia="楷体_GB2312"/>
          <w:color w:val="auto"/>
          <w:sz w:val="30"/>
          <w:szCs w:val="30"/>
          <w:lang w:val="en-US" w:eastAsia="zh-CN"/>
        </w:rPr>
        <w:t>2.</w:t>
      </w:r>
      <w:r>
        <w:rPr>
          <w:rStyle w:val="11"/>
          <w:rFonts w:hint="eastAsia" w:ascii="楷体_GB2312" w:hAnsi="宋体" w:eastAsia="楷体_GB2312"/>
          <w:color w:val="auto"/>
          <w:sz w:val="30"/>
          <w:szCs w:val="30"/>
        </w:rPr>
        <w:t>属于生物产业生产型企业。该类企业</w:t>
      </w:r>
      <w:r>
        <w:rPr>
          <w:rStyle w:val="11"/>
          <w:rFonts w:hint="eastAsia" w:ascii="楷体_GB2312" w:hAnsi="宋体" w:eastAsia="楷体_GB2312"/>
          <w:color w:val="auto"/>
          <w:sz w:val="30"/>
          <w:szCs w:val="30"/>
          <w:lang w:val="en-US" w:eastAsia="zh-CN"/>
        </w:rPr>
        <w:t>在</w:t>
      </w:r>
      <w:r>
        <w:rPr>
          <w:rStyle w:val="11"/>
          <w:rFonts w:hint="eastAsia" w:ascii="楷体_GB2312" w:hAnsi="宋体" w:eastAsia="楷体_GB2312"/>
          <w:color w:val="auto"/>
          <w:sz w:val="30"/>
          <w:szCs w:val="30"/>
        </w:rPr>
        <w:t>按建筑面积计算</w:t>
      </w:r>
      <w:r>
        <w:rPr>
          <w:rStyle w:val="11"/>
          <w:rFonts w:hint="eastAsia" w:ascii="楷体_GB2312" w:hAnsi="宋体" w:eastAsia="楷体_GB2312"/>
          <w:color w:val="auto"/>
          <w:sz w:val="30"/>
          <w:szCs w:val="30"/>
          <w:lang w:val="en-US" w:eastAsia="zh-CN"/>
        </w:rPr>
        <w:t>入驻后三年内任意一年度</w:t>
      </w:r>
      <w:r>
        <w:rPr>
          <w:rStyle w:val="11"/>
          <w:rFonts w:hint="eastAsia" w:ascii="楷体_GB2312" w:hAnsi="宋体" w:eastAsia="楷体_GB2312"/>
          <w:color w:val="auto"/>
          <w:sz w:val="30"/>
          <w:szCs w:val="30"/>
        </w:rPr>
        <w:t>税收贡献率（单位面积的企业纳税额，不含关税）</w:t>
      </w:r>
      <w:r>
        <w:rPr>
          <w:rStyle w:val="11"/>
          <w:rFonts w:hint="eastAsia" w:ascii="楷体_GB2312" w:hAnsi="宋体" w:eastAsia="楷体_GB2312"/>
          <w:color w:val="auto"/>
          <w:sz w:val="30"/>
          <w:szCs w:val="30"/>
          <w:lang w:eastAsia="zh-CN"/>
        </w:rPr>
        <w:t>达到</w:t>
      </w:r>
      <w:r>
        <w:rPr>
          <w:rStyle w:val="11"/>
          <w:rFonts w:hint="eastAsia" w:ascii="楷体_GB2312" w:hAnsi="宋体" w:eastAsia="楷体_GB2312"/>
          <w:color w:val="auto"/>
          <w:sz w:val="30"/>
          <w:szCs w:val="30"/>
          <w:lang w:val="en-US" w:eastAsia="zh-CN"/>
        </w:rPr>
        <w:t>210</w:t>
      </w:r>
      <w:r>
        <w:rPr>
          <w:rStyle w:val="11"/>
          <w:rFonts w:hint="eastAsia" w:ascii="楷体_GB2312" w:hAnsi="宋体" w:eastAsia="楷体_GB2312"/>
          <w:color w:val="auto"/>
          <w:sz w:val="30"/>
          <w:szCs w:val="30"/>
        </w:rPr>
        <w:t>元/㎡,或</w:t>
      </w:r>
      <w:r>
        <w:rPr>
          <w:rStyle w:val="11"/>
          <w:rFonts w:hint="eastAsia" w:ascii="楷体_GB2312" w:hAnsi="宋体" w:eastAsia="楷体_GB2312"/>
          <w:color w:val="auto"/>
          <w:sz w:val="30"/>
          <w:szCs w:val="30"/>
          <w:lang w:val="en-US" w:eastAsia="zh-CN"/>
        </w:rPr>
        <w:t>入驻后三年内任意一年度</w:t>
      </w:r>
      <w:r>
        <w:rPr>
          <w:rStyle w:val="11"/>
          <w:rFonts w:hint="eastAsia" w:ascii="楷体_GB2312" w:hAnsi="宋体" w:eastAsia="楷体_GB2312"/>
          <w:color w:val="auto"/>
          <w:sz w:val="30"/>
          <w:szCs w:val="30"/>
        </w:rPr>
        <w:t>产值</w:t>
      </w:r>
      <w:r>
        <w:rPr>
          <w:rStyle w:val="11"/>
          <w:rFonts w:hint="eastAsia" w:ascii="楷体_GB2312" w:hAnsi="宋体" w:eastAsia="楷体_GB2312"/>
          <w:color w:val="auto"/>
          <w:sz w:val="30"/>
          <w:szCs w:val="30"/>
          <w:lang w:val="en-US" w:eastAsia="zh-CN"/>
        </w:rPr>
        <w:t>达到</w:t>
      </w:r>
      <w:r>
        <w:rPr>
          <w:rStyle w:val="11"/>
          <w:rFonts w:hint="eastAsia" w:ascii="楷体_GB2312" w:hAnsi="宋体" w:eastAsia="楷体_GB2312"/>
          <w:color w:val="auto"/>
          <w:sz w:val="30"/>
          <w:szCs w:val="30"/>
        </w:rPr>
        <w:t>2</w:t>
      </w:r>
      <w:r>
        <w:rPr>
          <w:rStyle w:val="11"/>
          <w:rFonts w:hint="eastAsia" w:ascii="楷体_GB2312" w:hAnsi="宋体" w:eastAsia="楷体_GB2312"/>
          <w:color w:val="auto"/>
          <w:sz w:val="30"/>
          <w:szCs w:val="30"/>
          <w:lang w:val="en-US" w:eastAsia="zh-CN"/>
        </w:rPr>
        <w:t>500</w:t>
      </w:r>
      <w:r>
        <w:rPr>
          <w:rStyle w:val="11"/>
          <w:rFonts w:hint="eastAsia" w:ascii="楷体_GB2312" w:hAnsi="宋体" w:eastAsia="楷体_GB2312"/>
          <w:color w:val="auto"/>
          <w:sz w:val="30"/>
          <w:szCs w:val="30"/>
        </w:rPr>
        <w:t>元/㎡</w:t>
      </w:r>
      <w:r>
        <w:rPr>
          <w:rStyle w:val="11"/>
          <w:rFonts w:hint="eastAsia" w:ascii="楷体_GB2312" w:hAnsi="宋体" w:eastAsia="楷体_GB2312"/>
          <w:color w:val="auto"/>
          <w:sz w:val="30"/>
          <w:szCs w:val="30"/>
          <w:lang w:eastAsia="zh-CN"/>
        </w:rPr>
        <w:t>，</w:t>
      </w:r>
      <w:r>
        <w:rPr>
          <w:rStyle w:val="11"/>
          <w:rFonts w:hint="eastAsia" w:ascii="楷体_GB2312" w:hAnsi="宋体" w:eastAsia="楷体_GB2312"/>
          <w:color w:val="auto"/>
          <w:sz w:val="30"/>
          <w:szCs w:val="30"/>
        </w:rPr>
        <w:t>或</w:t>
      </w:r>
      <w:r>
        <w:rPr>
          <w:rStyle w:val="11"/>
          <w:rFonts w:hint="eastAsia" w:ascii="楷体_GB2312" w:hAnsi="宋体" w:eastAsia="楷体_GB2312"/>
          <w:color w:val="auto"/>
          <w:sz w:val="30"/>
          <w:szCs w:val="30"/>
          <w:lang w:val="en-US" w:eastAsia="zh-CN"/>
        </w:rPr>
        <w:t>入住后首年</w:t>
      </w:r>
      <w:r>
        <w:rPr>
          <w:rStyle w:val="11"/>
          <w:rFonts w:hint="eastAsia" w:ascii="楷体_GB2312" w:hAnsi="宋体" w:eastAsia="楷体_GB2312"/>
          <w:color w:val="auto"/>
          <w:sz w:val="30"/>
          <w:szCs w:val="30"/>
        </w:rPr>
        <w:t>投资强度（单位面积的固定资产投资额，包括厂房</w:t>
      </w:r>
      <w:r>
        <w:rPr>
          <w:rStyle w:val="11"/>
          <w:rFonts w:hint="eastAsia" w:ascii="楷体_GB2312" w:hAnsi="宋体" w:eastAsia="楷体_GB2312"/>
          <w:color w:val="auto"/>
          <w:sz w:val="30"/>
          <w:szCs w:val="30"/>
          <w:lang w:val="en-US" w:eastAsia="zh-CN"/>
        </w:rPr>
        <w:t>装修</w:t>
      </w:r>
      <w:r>
        <w:rPr>
          <w:rStyle w:val="11"/>
          <w:rFonts w:hint="eastAsia" w:ascii="楷体_GB2312" w:hAnsi="宋体" w:eastAsia="楷体_GB2312"/>
          <w:color w:val="auto"/>
          <w:sz w:val="30"/>
          <w:szCs w:val="30"/>
        </w:rPr>
        <w:t>、设备）不低于</w:t>
      </w:r>
      <w:r>
        <w:rPr>
          <w:rStyle w:val="11"/>
          <w:rFonts w:hint="eastAsia" w:ascii="楷体_GB2312" w:hAnsi="宋体" w:eastAsia="楷体_GB2312"/>
          <w:color w:val="auto"/>
          <w:sz w:val="30"/>
          <w:szCs w:val="30"/>
          <w:lang w:val="en-US" w:eastAsia="zh-CN"/>
        </w:rPr>
        <w:t>2500</w:t>
      </w:r>
      <w:r>
        <w:rPr>
          <w:rStyle w:val="11"/>
          <w:rFonts w:hint="eastAsia" w:ascii="楷体_GB2312" w:hAnsi="宋体" w:eastAsia="楷体_GB2312"/>
          <w:color w:val="auto"/>
          <w:sz w:val="30"/>
          <w:szCs w:val="30"/>
        </w:rPr>
        <w:t>元/㎡，</w:t>
      </w:r>
      <w:r>
        <w:rPr>
          <w:rStyle w:val="11"/>
          <w:rFonts w:hint="eastAsia" w:ascii="楷体_GB2312" w:hAnsi="宋体" w:eastAsia="楷体_GB2312"/>
          <w:color w:val="auto"/>
          <w:sz w:val="30"/>
          <w:szCs w:val="30"/>
        </w:rPr>
        <w:t>。</w:t>
      </w:r>
    </w:p>
    <w:p>
      <w:pPr>
        <w:spacing w:line="560" w:lineRule="exact"/>
        <w:ind w:firstLine="600" w:firstLineChars="200"/>
        <w:rPr>
          <w:rFonts w:ascii="楷体_GB2312" w:hAnsi="宋体" w:eastAsia="楷体_GB2312"/>
          <w:color w:val="auto"/>
          <w:sz w:val="30"/>
          <w:szCs w:val="30"/>
        </w:rPr>
      </w:pPr>
      <w:r>
        <w:rPr>
          <w:rStyle w:val="11"/>
          <w:rFonts w:hint="eastAsia" w:ascii="楷体_GB2312" w:hAnsi="宋体" w:eastAsia="楷体_GB2312"/>
          <w:color w:val="auto"/>
          <w:sz w:val="30"/>
          <w:szCs w:val="30"/>
        </w:rPr>
        <w:t xml:space="preserve">3.属于生物产业的研发型企业。该类企业应符合以下条件之一：（1）药物开发企业在研产品中至少应有1条产品管线已开展临床前期研究或已获得临床批件；（2）医疗器械企业在研产品中至少应有1条产品管线已获得第二、三类医疗器械产品注册证书或正在开展第二、三类医疗器械注册临床试验；（3）获得地级市及以上重大科技计划项目资助的企业；（4）获得国内外知名风险投资机构、知名机构原合伙人个人或所创办的投资机构累计不少于500万元投资款的企业；（5）企业或在研项目获得国内外知名银行贷款累计不少于500万元；（6）获得美国FDA（食品和药物管理局）认证、欧盟cGMP（动态药品生产管理规范）认证、CE（欧洲统一）认证、世界卫生组织认证或其他国际市场准入认证的企业。 </w:t>
      </w:r>
    </w:p>
    <w:p>
      <w:pPr>
        <w:spacing w:line="560" w:lineRule="exact"/>
        <w:ind w:firstLine="600" w:firstLineChars="200"/>
        <w:rPr>
          <w:rStyle w:val="11"/>
          <w:rFonts w:ascii="楷体_GB2312" w:hAnsi="宋体" w:eastAsia="楷体_GB2312"/>
          <w:color w:val="auto"/>
          <w:sz w:val="30"/>
          <w:szCs w:val="30"/>
        </w:rPr>
      </w:pPr>
      <w:r>
        <w:rPr>
          <w:rStyle w:val="11"/>
          <w:rFonts w:hint="eastAsia" w:ascii="楷体_GB2312" w:hAnsi="宋体" w:eastAsia="楷体_GB2312"/>
          <w:color w:val="auto"/>
          <w:sz w:val="30"/>
          <w:szCs w:val="30"/>
          <w:lang w:val="en-US" w:eastAsia="zh-CN"/>
        </w:rPr>
        <w:t>4.</w:t>
      </w:r>
      <w:r>
        <w:rPr>
          <w:rStyle w:val="11"/>
          <w:rFonts w:ascii="楷体_GB2312" w:hAnsi="宋体" w:eastAsia="楷体_GB2312"/>
          <w:color w:val="auto"/>
          <w:sz w:val="30"/>
          <w:szCs w:val="30"/>
        </w:rPr>
        <w:t>服务于生物产业的金融业、现代物流业、软件和信息技术服务业、科学研究和技术服务业、租赁和商务服务业、商贸服务业（《深圳市产业结构调整优化和产业导向目录(2016年修订）》A12、A13、A14、A15、A16、A17)等生产性服务业经营主体</w:t>
      </w:r>
      <w:r>
        <w:rPr>
          <w:rStyle w:val="11"/>
          <w:rFonts w:hint="eastAsia" w:ascii="楷体_GB2312" w:hAnsi="宋体" w:eastAsia="楷体_GB2312"/>
          <w:color w:val="auto"/>
          <w:sz w:val="30"/>
          <w:szCs w:val="30"/>
        </w:rPr>
        <w:t>，</w:t>
      </w:r>
      <w:r>
        <w:rPr>
          <w:rStyle w:val="11"/>
          <w:rFonts w:hint="eastAsia" w:ascii="楷体_GB2312" w:hAnsi="宋体" w:eastAsia="楷体_GB2312"/>
          <w:color w:val="auto"/>
          <w:sz w:val="30"/>
          <w:szCs w:val="30"/>
          <w:lang w:val="en-US" w:eastAsia="zh-CN"/>
        </w:rPr>
        <w:t>该部分租赁对象的租赁面积不得超过本宗地规划建筑面积的15%</w:t>
      </w:r>
      <w:r>
        <w:rPr>
          <w:rStyle w:val="11"/>
          <w:rFonts w:hint="eastAsia" w:ascii="楷体_GB2312" w:hAnsi="宋体" w:eastAsia="楷体_GB2312"/>
          <w:color w:val="auto"/>
          <w:sz w:val="30"/>
          <w:szCs w:val="30"/>
        </w:rPr>
        <w:t>。</w:t>
      </w:r>
    </w:p>
    <w:p>
      <w:pPr>
        <w:spacing w:line="560" w:lineRule="exact"/>
        <w:ind w:firstLine="560"/>
        <w:rPr>
          <w:rStyle w:val="11"/>
          <w:rFonts w:hint="eastAsia" w:ascii="楷体_GB2312" w:hAnsi="宋体" w:eastAsia="楷体_GB2312"/>
          <w:color w:val="auto"/>
          <w:sz w:val="30"/>
          <w:szCs w:val="30"/>
          <w:lang w:val="en-US" w:eastAsia="zh-CN"/>
        </w:rPr>
      </w:pPr>
      <w:r>
        <w:rPr>
          <w:rStyle w:val="11"/>
          <w:rFonts w:hint="eastAsia" w:ascii="楷体_GB2312" w:hAnsi="宋体" w:eastAsia="楷体_GB2312"/>
          <w:color w:val="auto"/>
          <w:sz w:val="30"/>
          <w:szCs w:val="30"/>
          <w:lang w:val="en-US" w:eastAsia="zh-CN"/>
        </w:rPr>
        <w:t>5.众创空间：运营方拥有至少3名具备1年以上创业投资或创业服务等相关经验的管理人员并且可为入驻单位提供一定的投融资服务，包括设立不少于300万元的种子基金，或与3家天使投资人、创业投资机构和其他融资服务机构签订战略合作协议，该部分租赁对象的租赁面积不得超过本宗地规划建筑面积的5%</w:t>
      </w:r>
      <w:r>
        <w:rPr>
          <w:rStyle w:val="11"/>
          <w:rFonts w:hint="eastAsia" w:ascii="楷体_GB2312" w:hAnsi="宋体" w:eastAsia="楷体_GB2312"/>
          <w:color w:val="auto"/>
          <w:sz w:val="30"/>
          <w:szCs w:val="30"/>
        </w:rPr>
        <w:t>。</w:t>
      </w:r>
    </w:p>
    <w:p>
      <w:pPr>
        <w:spacing w:line="560" w:lineRule="exact"/>
        <w:ind w:firstLine="560"/>
        <w:rPr>
          <w:rStyle w:val="11"/>
          <w:rFonts w:hint="eastAsia" w:ascii="楷体_GB2312" w:hAnsi="宋体" w:eastAsia="楷体_GB2312"/>
          <w:color w:val="auto"/>
          <w:sz w:val="30"/>
          <w:szCs w:val="30"/>
          <w:lang w:val="en-US" w:eastAsia="zh-CN"/>
        </w:rPr>
      </w:pPr>
      <w:r>
        <w:rPr>
          <w:rStyle w:val="11"/>
          <w:rFonts w:hint="eastAsia" w:ascii="楷体_GB2312" w:hAnsi="宋体" w:eastAsia="楷体_GB2312"/>
          <w:color w:val="auto"/>
          <w:sz w:val="30"/>
          <w:szCs w:val="30"/>
          <w:lang w:val="en-US" w:eastAsia="zh-CN"/>
        </w:rPr>
        <w:t>6.符合以下条件之一的</w:t>
      </w:r>
      <w:r>
        <w:rPr>
          <w:rStyle w:val="11"/>
          <w:rFonts w:ascii="楷体_GB2312" w:hAnsi="宋体" w:eastAsia="楷体_GB2312"/>
          <w:color w:val="auto"/>
          <w:sz w:val="30"/>
          <w:szCs w:val="30"/>
        </w:rPr>
        <w:t>高端人才团队创业</w:t>
      </w:r>
      <w:r>
        <w:rPr>
          <w:rStyle w:val="11"/>
          <w:rFonts w:hint="eastAsia" w:ascii="楷体_GB2312" w:hAnsi="宋体" w:eastAsia="楷体_GB2312"/>
          <w:color w:val="auto"/>
          <w:sz w:val="30"/>
          <w:szCs w:val="30"/>
          <w:lang w:val="en-US" w:eastAsia="zh-CN"/>
        </w:rPr>
        <w:t>生物产业项目</w:t>
      </w:r>
      <w:r>
        <w:rPr>
          <w:rStyle w:val="11"/>
          <w:rFonts w:ascii="楷体_GB2312" w:hAnsi="宋体" w:eastAsia="楷体_GB2312"/>
          <w:color w:val="auto"/>
          <w:sz w:val="30"/>
          <w:szCs w:val="30"/>
        </w:rPr>
        <w:t>：</w:t>
      </w:r>
      <w:r>
        <w:rPr>
          <w:rStyle w:val="11"/>
          <w:rFonts w:hint="eastAsia" w:ascii="楷体_GB2312" w:hAnsi="宋体" w:eastAsia="楷体_GB2312"/>
          <w:color w:val="auto"/>
          <w:sz w:val="30"/>
          <w:szCs w:val="30"/>
          <w:lang w:eastAsia="zh-CN"/>
        </w:rPr>
        <w:t>（</w:t>
      </w:r>
      <w:r>
        <w:rPr>
          <w:rStyle w:val="11"/>
          <w:rFonts w:hint="eastAsia" w:ascii="楷体_GB2312" w:hAnsi="宋体" w:eastAsia="楷体_GB2312"/>
          <w:color w:val="auto"/>
          <w:sz w:val="30"/>
          <w:szCs w:val="30"/>
          <w:lang w:val="en-US" w:eastAsia="zh-CN"/>
        </w:rPr>
        <w:t>1</w:t>
      </w:r>
      <w:r>
        <w:rPr>
          <w:rStyle w:val="11"/>
          <w:rFonts w:hint="eastAsia" w:ascii="楷体_GB2312" w:hAnsi="宋体" w:eastAsia="楷体_GB2312"/>
          <w:color w:val="auto"/>
          <w:sz w:val="30"/>
          <w:szCs w:val="30"/>
          <w:lang w:eastAsia="zh-CN"/>
        </w:rPr>
        <w:t>）</w:t>
      </w:r>
      <w:r>
        <w:rPr>
          <w:rStyle w:val="11"/>
          <w:rFonts w:hint="eastAsia" w:ascii="楷体_GB2312" w:hAnsi="宋体" w:eastAsia="楷体_GB2312"/>
          <w:color w:val="auto"/>
          <w:sz w:val="30"/>
          <w:szCs w:val="30"/>
          <w:lang w:val="en-US" w:eastAsia="zh-CN"/>
        </w:rPr>
        <w:t>.</w:t>
      </w:r>
      <w:r>
        <w:rPr>
          <w:rStyle w:val="11"/>
          <w:rFonts w:ascii="楷体_GB2312" w:hAnsi="宋体" w:eastAsia="楷体_GB2312"/>
          <w:color w:val="auto"/>
          <w:sz w:val="30"/>
          <w:szCs w:val="30"/>
        </w:rPr>
        <w:t>项目法人代表或控制股东为根据《深圳市坪山区“聚龙计划”人才认定标准》进行认定的，并在有效期内的杰出人才、高层次领军人才、教育卫生系统引进高层次人才、创新创业成长型人才。</w:t>
      </w:r>
      <w:r>
        <w:rPr>
          <w:rStyle w:val="11"/>
          <w:rFonts w:hint="eastAsia" w:ascii="楷体_GB2312" w:hAnsi="宋体" w:eastAsia="楷体_GB2312"/>
          <w:color w:val="auto"/>
          <w:sz w:val="30"/>
          <w:szCs w:val="30"/>
          <w:lang w:eastAsia="zh-CN"/>
        </w:rPr>
        <w:t>（</w:t>
      </w:r>
      <w:r>
        <w:rPr>
          <w:rStyle w:val="11"/>
          <w:rFonts w:hint="eastAsia" w:ascii="楷体_GB2312" w:hAnsi="宋体" w:eastAsia="楷体_GB2312"/>
          <w:color w:val="auto"/>
          <w:sz w:val="30"/>
          <w:szCs w:val="30"/>
          <w:lang w:val="en-US" w:eastAsia="zh-CN"/>
        </w:rPr>
        <w:t>2</w:t>
      </w:r>
      <w:r>
        <w:rPr>
          <w:rStyle w:val="11"/>
          <w:rFonts w:hint="eastAsia" w:ascii="楷体_GB2312" w:hAnsi="宋体" w:eastAsia="楷体_GB2312"/>
          <w:color w:val="auto"/>
          <w:sz w:val="30"/>
          <w:szCs w:val="30"/>
          <w:lang w:eastAsia="zh-CN"/>
        </w:rPr>
        <w:t>）</w:t>
      </w:r>
      <w:r>
        <w:rPr>
          <w:rStyle w:val="11"/>
          <w:rFonts w:hint="eastAsia" w:ascii="楷体_GB2312" w:hAnsi="宋体" w:eastAsia="楷体_GB2312"/>
          <w:color w:val="auto"/>
          <w:sz w:val="30"/>
          <w:szCs w:val="30"/>
          <w:lang w:val="en-US" w:eastAsia="zh-CN"/>
        </w:rPr>
        <w:t>.</w:t>
      </w:r>
      <w:r>
        <w:rPr>
          <w:rStyle w:val="11"/>
          <w:rFonts w:hint="eastAsia" w:ascii="楷体_GB2312" w:hAnsi="宋体" w:eastAsia="楷体_GB2312"/>
          <w:color w:val="auto"/>
          <w:sz w:val="30"/>
          <w:szCs w:val="30"/>
          <w:lang w:eastAsia="zh-CN"/>
        </w:rPr>
        <w:t>国内985、211高校的博士、</w:t>
      </w:r>
      <w:r>
        <w:rPr>
          <w:rStyle w:val="11"/>
          <w:rFonts w:hint="eastAsia" w:ascii="楷体_GB2312" w:hAnsi="宋体" w:eastAsia="楷体_GB2312"/>
          <w:color w:val="auto"/>
          <w:sz w:val="30"/>
          <w:szCs w:val="30"/>
          <w:lang w:val="en-US" w:eastAsia="zh-CN"/>
        </w:rPr>
        <w:t>QS世界大学</w:t>
      </w:r>
      <w:r>
        <w:rPr>
          <w:rStyle w:val="11"/>
          <w:rFonts w:hint="eastAsia" w:ascii="楷体_GB2312" w:hAnsi="宋体" w:eastAsia="楷体_GB2312"/>
          <w:color w:val="auto"/>
          <w:sz w:val="30"/>
          <w:szCs w:val="30"/>
          <w:lang w:eastAsia="zh-CN"/>
        </w:rPr>
        <w:t>排名前1</w:t>
      </w:r>
      <w:r>
        <w:rPr>
          <w:rStyle w:val="11"/>
          <w:rFonts w:hint="eastAsia" w:ascii="楷体_GB2312" w:hAnsi="宋体" w:eastAsia="楷体_GB2312"/>
          <w:color w:val="auto"/>
          <w:sz w:val="30"/>
          <w:szCs w:val="30"/>
          <w:lang w:val="en-US" w:eastAsia="zh-CN"/>
        </w:rPr>
        <w:t>50</w:t>
      </w:r>
      <w:r>
        <w:rPr>
          <w:rStyle w:val="11"/>
          <w:rFonts w:hint="eastAsia" w:ascii="楷体_GB2312" w:hAnsi="宋体" w:eastAsia="楷体_GB2312"/>
          <w:color w:val="auto"/>
          <w:sz w:val="30"/>
          <w:szCs w:val="30"/>
          <w:lang w:eastAsia="zh-CN"/>
        </w:rPr>
        <w:t>知名高校的博士、硕士是企业创办人或团队核心成员的企业。（</w:t>
      </w:r>
      <w:r>
        <w:rPr>
          <w:rStyle w:val="11"/>
          <w:rFonts w:hint="eastAsia" w:ascii="楷体_GB2312" w:hAnsi="宋体" w:eastAsia="楷体_GB2312"/>
          <w:color w:val="auto"/>
          <w:sz w:val="30"/>
          <w:szCs w:val="30"/>
          <w:lang w:val="en-US" w:eastAsia="zh-CN"/>
        </w:rPr>
        <w:t>3</w:t>
      </w:r>
      <w:r>
        <w:rPr>
          <w:rStyle w:val="11"/>
          <w:rFonts w:hint="eastAsia" w:ascii="楷体_GB2312" w:hAnsi="宋体" w:eastAsia="楷体_GB2312"/>
          <w:color w:val="auto"/>
          <w:sz w:val="30"/>
          <w:szCs w:val="30"/>
          <w:lang w:eastAsia="zh-CN"/>
        </w:rPr>
        <w:t>）</w:t>
      </w:r>
      <w:r>
        <w:rPr>
          <w:rStyle w:val="11"/>
          <w:rFonts w:hint="eastAsia" w:ascii="楷体_GB2312" w:hAnsi="宋体" w:eastAsia="楷体_GB2312"/>
          <w:color w:val="auto"/>
          <w:sz w:val="30"/>
          <w:szCs w:val="30"/>
          <w:lang w:val="en-US" w:eastAsia="zh-CN"/>
        </w:rPr>
        <w:t>.在</w:t>
      </w:r>
      <w:r>
        <w:rPr>
          <w:rStyle w:val="11"/>
          <w:rFonts w:hint="eastAsia" w:ascii="楷体_GB2312" w:hAnsi="宋体" w:eastAsia="楷体_GB2312"/>
          <w:color w:val="auto"/>
          <w:sz w:val="30"/>
          <w:szCs w:val="30"/>
        </w:rPr>
        <w:t>全球500强</w:t>
      </w:r>
      <w:r>
        <w:rPr>
          <w:rStyle w:val="11"/>
          <w:rFonts w:hint="eastAsia" w:ascii="楷体_GB2312" w:hAnsi="宋体" w:eastAsia="楷体_GB2312"/>
          <w:color w:val="auto"/>
          <w:sz w:val="30"/>
          <w:szCs w:val="30"/>
          <w:lang w:val="en-US" w:eastAsia="zh-CN"/>
        </w:rPr>
        <w:t>或国内工业医药百强的</w:t>
      </w:r>
      <w:r>
        <w:rPr>
          <w:rStyle w:val="11"/>
          <w:rFonts w:hint="eastAsia" w:ascii="楷体_GB2312" w:hAnsi="宋体" w:eastAsia="楷体_GB2312"/>
          <w:color w:val="auto"/>
          <w:sz w:val="30"/>
          <w:szCs w:val="30"/>
        </w:rPr>
        <w:t>知名</w:t>
      </w:r>
      <w:r>
        <w:rPr>
          <w:rStyle w:val="11"/>
          <w:rFonts w:hint="eastAsia" w:ascii="楷体_GB2312" w:hAnsi="宋体" w:eastAsia="楷体_GB2312"/>
          <w:color w:val="auto"/>
          <w:sz w:val="30"/>
          <w:szCs w:val="30"/>
          <w:lang w:val="en-US" w:eastAsia="zh-CN"/>
        </w:rPr>
        <w:t>生物医药</w:t>
      </w:r>
      <w:r>
        <w:rPr>
          <w:rStyle w:val="11"/>
          <w:rFonts w:hint="eastAsia" w:ascii="楷体_GB2312" w:hAnsi="宋体" w:eastAsia="楷体_GB2312"/>
          <w:color w:val="auto"/>
          <w:sz w:val="30"/>
          <w:szCs w:val="30"/>
        </w:rPr>
        <w:t>、器械企业中任职</w:t>
      </w:r>
      <w:r>
        <w:rPr>
          <w:rStyle w:val="11"/>
          <w:rFonts w:hint="eastAsia" w:ascii="楷体_GB2312" w:hAnsi="宋体" w:eastAsia="楷体_GB2312"/>
          <w:color w:val="auto"/>
          <w:sz w:val="30"/>
          <w:szCs w:val="30"/>
          <w:lang w:val="en-US" w:eastAsia="zh-CN"/>
        </w:rPr>
        <w:t>过的</w:t>
      </w:r>
      <w:r>
        <w:rPr>
          <w:rStyle w:val="11"/>
          <w:rFonts w:hint="eastAsia" w:ascii="楷体_GB2312" w:hAnsi="宋体" w:eastAsia="楷体_GB2312"/>
          <w:color w:val="auto"/>
          <w:sz w:val="30"/>
          <w:szCs w:val="30"/>
        </w:rPr>
        <w:t>高管或核心研发人员</w:t>
      </w:r>
      <w:r>
        <w:rPr>
          <w:rStyle w:val="11"/>
          <w:rFonts w:hint="eastAsia" w:ascii="楷体_GB2312" w:hAnsi="宋体" w:eastAsia="楷体_GB2312"/>
          <w:color w:val="auto"/>
          <w:sz w:val="30"/>
          <w:szCs w:val="30"/>
          <w:lang w:val="en-US" w:eastAsia="zh-CN"/>
        </w:rPr>
        <w:t>所</w:t>
      </w:r>
      <w:r>
        <w:rPr>
          <w:rStyle w:val="11"/>
          <w:rFonts w:hint="eastAsia" w:ascii="楷体_GB2312" w:hAnsi="宋体" w:eastAsia="楷体_GB2312"/>
          <w:color w:val="auto"/>
          <w:sz w:val="30"/>
          <w:szCs w:val="30"/>
        </w:rPr>
        <w:t>创办</w:t>
      </w:r>
      <w:r>
        <w:rPr>
          <w:rStyle w:val="11"/>
          <w:rFonts w:hint="eastAsia" w:ascii="楷体_GB2312" w:hAnsi="宋体" w:eastAsia="楷体_GB2312"/>
          <w:color w:val="auto"/>
          <w:sz w:val="30"/>
          <w:szCs w:val="30"/>
          <w:lang w:val="en-US" w:eastAsia="zh-CN"/>
        </w:rPr>
        <w:t>的</w:t>
      </w:r>
      <w:r>
        <w:rPr>
          <w:rStyle w:val="11"/>
          <w:rFonts w:hint="eastAsia" w:ascii="楷体_GB2312" w:hAnsi="宋体" w:eastAsia="楷体_GB2312"/>
          <w:color w:val="auto"/>
          <w:sz w:val="30"/>
          <w:szCs w:val="30"/>
        </w:rPr>
        <w:t>企业</w:t>
      </w:r>
      <w:r>
        <w:rPr>
          <w:rStyle w:val="11"/>
          <w:rFonts w:hint="eastAsia" w:ascii="楷体_GB2312" w:hAnsi="宋体" w:eastAsia="楷体_GB2312"/>
          <w:color w:val="auto"/>
          <w:sz w:val="30"/>
          <w:szCs w:val="30"/>
          <w:lang w:eastAsia="zh-CN"/>
        </w:rPr>
        <w:t>。（</w:t>
      </w:r>
      <w:r>
        <w:rPr>
          <w:rStyle w:val="11"/>
          <w:rFonts w:hint="eastAsia" w:ascii="楷体_GB2312" w:hAnsi="宋体" w:eastAsia="楷体_GB2312"/>
          <w:color w:val="auto"/>
          <w:sz w:val="30"/>
          <w:szCs w:val="30"/>
          <w:lang w:val="en-US" w:eastAsia="zh-CN"/>
        </w:rPr>
        <w:t>4</w:t>
      </w:r>
      <w:r>
        <w:rPr>
          <w:rStyle w:val="11"/>
          <w:rFonts w:hint="eastAsia" w:ascii="楷体_GB2312" w:hAnsi="宋体" w:eastAsia="楷体_GB2312"/>
          <w:color w:val="auto"/>
          <w:sz w:val="30"/>
          <w:szCs w:val="30"/>
          <w:lang w:eastAsia="zh-CN"/>
        </w:rPr>
        <w:t>）</w:t>
      </w:r>
      <w:r>
        <w:rPr>
          <w:rStyle w:val="11"/>
          <w:rFonts w:hint="eastAsia" w:ascii="楷体_GB2312" w:hAnsi="宋体" w:eastAsia="楷体_GB2312"/>
          <w:color w:val="auto"/>
          <w:sz w:val="30"/>
          <w:szCs w:val="30"/>
          <w:lang w:val="en-US" w:eastAsia="zh-CN"/>
        </w:rPr>
        <w:t>.创办人或团队核心成员</w:t>
      </w:r>
      <w:r>
        <w:rPr>
          <w:rStyle w:val="11"/>
          <w:rFonts w:hint="eastAsia" w:ascii="楷体_GB2312" w:hAnsi="宋体" w:eastAsia="楷体_GB2312"/>
          <w:color w:val="auto"/>
          <w:sz w:val="30"/>
          <w:szCs w:val="30"/>
          <w:lang w:eastAsia="zh-CN"/>
        </w:rPr>
        <w:t>符合</w:t>
      </w:r>
      <w:r>
        <w:rPr>
          <w:rStyle w:val="11"/>
          <w:rFonts w:hint="eastAsia" w:ascii="楷体_GB2312" w:hAnsi="宋体" w:eastAsia="楷体_GB2312"/>
          <w:color w:val="auto"/>
          <w:sz w:val="30"/>
          <w:szCs w:val="30"/>
          <w:lang w:val="en-US" w:eastAsia="zh-CN"/>
        </w:rPr>
        <w:t>国家级、省级、地级市级人才标准的企业。（5）.获得深圳市的区级或以上、深圳市外的地市级以上创新创业比赛前三等奖的生物医疗企业或团队。</w:t>
      </w:r>
    </w:p>
    <w:p>
      <w:pPr>
        <w:spacing w:line="560" w:lineRule="exact"/>
        <w:ind w:firstLine="600" w:firstLineChars="200"/>
        <w:rPr>
          <w:rStyle w:val="11"/>
          <w:rFonts w:hint="eastAsia" w:ascii="楷体_GB2312" w:hAnsi="宋体" w:eastAsia="楷体_GB2312"/>
          <w:color w:val="auto"/>
          <w:sz w:val="30"/>
          <w:szCs w:val="30"/>
          <w:lang w:val="en-US" w:eastAsia="zh-CN"/>
        </w:rPr>
      </w:pPr>
      <w:r>
        <w:rPr>
          <w:rStyle w:val="11"/>
          <w:rFonts w:hint="eastAsia" w:ascii="楷体_GB2312" w:hAnsi="宋体" w:eastAsia="楷体_GB2312"/>
          <w:color w:val="auto"/>
          <w:sz w:val="30"/>
          <w:szCs w:val="30"/>
          <w:lang w:val="en-US" w:eastAsia="zh-CN"/>
        </w:rPr>
        <w:t>7.符合以下条件之一的</w:t>
      </w:r>
      <w:r>
        <w:rPr>
          <w:rStyle w:val="11"/>
          <w:rFonts w:ascii="楷体_GB2312" w:hAnsi="宋体" w:eastAsia="楷体_GB2312"/>
          <w:color w:val="auto"/>
          <w:sz w:val="30"/>
          <w:szCs w:val="30"/>
        </w:rPr>
        <w:t>科技创新服务平台：</w:t>
      </w:r>
      <w:r>
        <w:rPr>
          <w:rStyle w:val="11"/>
          <w:rFonts w:hint="eastAsia" w:ascii="楷体_GB2312" w:hAnsi="宋体" w:eastAsia="楷体_GB2312"/>
          <w:color w:val="auto"/>
          <w:sz w:val="30"/>
          <w:szCs w:val="30"/>
          <w:lang w:eastAsia="zh-CN"/>
        </w:rPr>
        <w:t>（</w:t>
      </w:r>
      <w:r>
        <w:rPr>
          <w:rStyle w:val="11"/>
          <w:rFonts w:hint="eastAsia" w:ascii="楷体_GB2312" w:hAnsi="宋体" w:eastAsia="楷体_GB2312"/>
          <w:color w:val="auto"/>
          <w:sz w:val="30"/>
          <w:szCs w:val="30"/>
          <w:lang w:val="en-US" w:eastAsia="zh-CN"/>
        </w:rPr>
        <w:t>1</w:t>
      </w:r>
      <w:r>
        <w:rPr>
          <w:rStyle w:val="11"/>
          <w:rFonts w:hint="eastAsia" w:ascii="楷体_GB2312" w:hAnsi="宋体" w:eastAsia="楷体_GB2312"/>
          <w:color w:val="auto"/>
          <w:sz w:val="30"/>
          <w:szCs w:val="30"/>
          <w:lang w:eastAsia="zh-CN"/>
        </w:rPr>
        <w:t>）</w:t>
      </w:r>
      <w:r>
        <w:rPr>
          <w:rStyle w:val="11"/>
          <w:rFonts w:hint="eastAsia" w:ascii="楷体_GB2312" w:hAnsi="宋体" w:eastAsia="楷体_GB2312"/>
          <w:color w:val="auto"/>
          <w:sz w:val="30"/>
          <w:szCs w:val="30"/>
          <w:lang w:val="en-US" w:eastAsia="zh-CN"/>
        </w:rPr>
        <w:t>.建立以生物医药、医疗器械相关合同开发与制造组织（CDMO）公共平台，属性为第三方服务机构，提供注册检验、法规培训、质量评价、工艺升级改造、合同开发等研发支持及外包服务，或小分子化合物、生物大分子、药物载体等生产代理服务。（2）.以药物研发、生产所需要的相关服务平台，开展医药临床前研究服务及临床研究第三方服务平台（CRO），实现化合物研究、安全性评价、制药技术、法规培训及体系建设等药物研发外包服务。（3）.第三方创新药物化合物筛选公共平台，提供实现高效的早期化合物分析筛选相关服务，包括候选化合物分子建库、毒性、活性、物理性质、分子动力学、合成规划等功能，平台技术需具有创新性及相关核心技术专利支撑。</w:t>
      </w:r>
    </w:p>
    <w:p>
      <w:pPr>
        <w:spacing w:line="560" w:lineRule="exact"/>
        <w:ind w:firstLine="600" w:firstLineChars="200"/>
        <w:rPr>
          <w:rStyle w:val="11"/>
          <w:rFonts w:ascii="楷体_GB2312" w:hAnsi="宋体" w:eastAsia="楷体_GB2312"/>
          <w:color w:val="auto"/>
          <w:sz w:val="30"/>
          <w:szCs w:val="30"/>
        </w:rPr>
      </w:pPr>
      <w:r>
        <w:rPr>
          <w:rStyle w:val="11"/>
          <w:rFonts w:hint="eastAsia" w:ascii="楷体_GB2312" w:hAnsi="宋体" w:eastAsia="楷体_GB2312"/>
          <w:color w:val="auto"/>
          <w:sz w:val="30"/>
          <w:szCs w:val="30"/>
          <w:lang w:val="en-US" w:eastAsia="zh-CN"/>
        </w:rPr>
        <w:t>8.</w:t>
      </w:r>
      <w:r>
        <w:rPr>
          <w:rStyle w:val="11"/>
          <w:rFonts w:ascii="楷体_GB2312" w:hAnsi="宋体" w:eastAsia="楷体_GB2312"/>
          <w:color w:val="auto"/>
          <w:sz w:val="30"/>
          <w:szCs w:val="30"/>
        </w:rPr>
        <w:t>甲方认定的其他企业或项目</w:t>
      </w:r>
      <w:r>
        <w:rPr>
          <w:rStyle w:val="11"/>
          <w:rFonts w:hint="eastAsia" w:ascii="楷体_GB2312" w:hAnsi="宋体" w:eastAsia="楷体_GB2312"/>
          <w:color w:val="auto"/>
          <w:sz w:val="30"/>
          <w:szCs w:val="30"/>
        </w:rPr>
        <w:t>。</w:t>
      </w:r>
    </w:p>
    <w:p>
      <w:pPr>
        <w:spacing w:line="560" w:lineRule="exact"/>
        <w:ind w:firstLine="600" w:firstLineChars="20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九）乙方承诺项目竣工后3年内引进至少4家针对生物产业类企业提供服务的公共平台，该平台迁入坪山区或者在坪山区设立分中心，在对外运营时为坪山区内生物产业类企业提供优先、优惠的服务。该平台应符合以下条件之一：</w:t>
      </w:r>
    </w:p>
    <w:p>
      <w:pPr>
        <w:spacing w:line="560" w:lineRule="exact"/>
        <w:ind w:firstLine="600" w:firstLineChars="20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lang w:val="en-US" w:eastAsia="zh-CN"/>
        </w:rPr>
        <w:t>1.</w:t>
      </w:r>
      <w:r>
        <w:rPr>
          <w:rStyle w:val="11"/>
          <w:rFonts w:hint="eastAsia" w:ascii="楷体_GB2312" w:hAnsi="宋体" w:eastAsia="楷体_GB2312"/>
          <w:color w:val="auto"/>
          <w:sz w:val="30"/>
          <w:szCs w:val="30"/>
        </w:rPr>
        <w:t>药物实验室或研究中心。该平台作为第三方服务机构需满足药品非临床研究质量管理规范（GLP）或药物临床试验管理规范（GCP）的要求。</w:t>
      </w:r>
    </w:p>
    <w:p>
      <w:pPr>
        <w:spacing w:line="560" w:lineRule="exact"/>
        <w:ind w:firstLine="600" w:firstLineChars="20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lang w:val="en-US" w:eastAsia="zh-CN"/>
        </w:rPr>
        <w:t>2.</w:t>
      </w:r>
      <w:r>
        <w:rPr>
          <w:rStyle w:val="11"/>
          <w:rFonts w:hint="eastAsia" w:ascii="楷体_GB2312" w:hAnsi="宋体" w:eastAsia="楷体_GB2312"/>
          <w:color w:val="auto"/>
          <w:sz w:val="30"/>
          <w:szCs w:val="30"/>
        </w:rPr>
        <w:t>市级及以上药品评审、医疗器械技术评审或不良反应监测等分中心，能组织开展药品不良反应、医疗器械不良事件、药物滥用监测工作等，开展药品、医疗器械上市评审等工作。</w:t>
      </w:r>
    </w:p>
    <w:p>
      <w:pPr>
        <w:spacing w:line="560" w:lineRule="exact"/>
        <w:ind w:firstLine="600" w:firstLineChars="20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3</w:t>
      </w:r>
      <w:r>
        <w:rPr>
          <w:rStyle w:val="11"/>
          <w:rFonts w:hint="eastAsia" w:ascii="楷体_GB2312" w:hAnsi="宋体" w:eastAsia="楷体_GB2312"/>
          <w:color w:val="auto"/>
          <w:sz w:val="30"/>
          <w:szCs w:val="30"/>
          <w:lang w:val="en-US" w:eastAsia="zh-CN"/>
        </w:rPr>
        <w:t>.</w:t>
      </w:r>
      <w:r>
        <w:rPr>
          <w:rStyle w:val="11"/>
          <w:rFonts w:hint="eastAsia" w:ascii="楷体_GB2312" w:hAnsi="宋体" w:eastAsia="楷体_GB2312"/>
          <w:color w:val="auto"/>
          <w:sz w:val="30"/>
          <w:szCs w:val="30"/>
        </w:rPr>
        <w:t>医药服务机构，面向医药行业提供药品注册、临床研究、医学市场、项目评估、融投资管理等专业技术服务。</w:t>
      </w:r>
    </w:p>
    <w:p>
      <w:pPr>
        <w:spacing w:line="560" w:lineRule="exact"/>
        <w:ind w:firstLine="600" w:firstLineChars="20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4</w:t>
      </w:r>
      <w:r>
        <w:rPr>
          <w:rStyle w:val="11"/>
          <w:rFonts w:hint="eastAsia" w:ascii="楷体_GB2312" w:hAnsi="宋体" w:eastAsia="楷体_GB2312"/>
          <w:color w:val="auto"/>
          <w:sz w:val="30"/>
          <w:szCs w:val="30"/>
          <w:lang w:val="en-US" w:eastAsia="zh-CN"/>
        </w:rPr>
        <w:t>.</w:t>
      </w:r>
      <w:r>
        <w:rPr>
          <w:rStyle w:val="11"/>
          <w:rFonts w:hint="eastAsia" w:ascii="楷体_GB2312" w:hAnsi="宋体" w:eastAsia="楷体_GB2312"/>
          <w:color w:val="auto"/>
          <w:sz w:val="30"/>
          <w:szCs w:val="30"/>
        </w:rPr>
        <w:t>国际公认的医疗器械或医药的审核或体系认证机构，能提供英国、德国、加拿大或韩国等国家认可的安全认证，如TüV、GS、BSI等。</w:t>
      </w:r>
    </w:p>
    <w:p>
      <w:pPr>
        <w:spacing w:line="560" w:lineRule="exact"/>
        <w:ind w:firstLine="600" w:firstLineChars="20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lang w:val="en-US" w:eastAsia="zh-CN"/>
        </w:rPr>
        <w:t>5.</w:t>
      </w:r>
      <w:r>
        <w:rPr>
          <w:rStyle w:val="11"/>
          <w:rFonts w:hint="eastAsia" w:ascii="楷体_GB2312" w:hAnsi="宋体" w:eastAsia="楷体_GB2312"/>
          <w:color w:val="auto"/>
          <w:sz w:val="30"/>
          <w:szCs w:val="30"/>
        </w:rPr>
        <w:t>国际认可的医疗器械或医药的第三方检测机构，可提供生物相容性测试、动物测试、过程确认或临床前研究等服务之一，该平台检测报告可满足中国CFDA, 欧盟公告机构或美国NMPA等不同监管机构的资质要求。</w:t>
      </w:r>
    </w:p>
    <w:p>
      <w:pPr>
        <w:spacing w:line="560" w:lineRule="exact"/>
        <w:ind w:firstLine="600" w:firstLineChars="20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6</w:t>
      </w:r>
      <w:r>
        <w:rPr>
          <w:rStyle w:val="11"/>
          <w:rFonts w:hint="eastAsia" w:ascii="楷体_GB2312" w:hAnsi="宋体" w:eastAsia="楷体_GB2312"/>
          <w:color w:val="auto"/>
          <w:sz w:val="30"/>
          <w:szCs w:val="30"/>
          <w:lang w:val="en-US" w:eastAsia="zh-CN"/>
        </w:rPr>
        <w:t>.</w:t>
      </w:r>
      <w:r>
        <w:rPr>
          <w:rStyle w:val="11"/>
          <w:rFonts w:hint="eastAsia" w:ascii="楷体_GB2312" w:hAnsi="宋体" w:eastAsia="楷体_GB2312"/>
          <w:color w:val="auto"/>
          <w:sz w:val="30"/>
          <w:szCs w:val="30"/>
        </w:rPr>
        <w:t>国内医疗器械或医药的检测平台，该平台作为第三方服务机构，具备中国合格评定国家认可委员会认证（CNAS）中国计量认证（CMA）或中国质量认证中心认证（CQC）等相关资质之一的经验，在坪山设立分支机构后需在3年内申请相关资质的认定。</w:t>
      </w:r>
    </w:p>
    <w:p>
      <w:pPr>
        <w:spacing w:line="560" w:lineRule="exact"/>
        <w:ind w:firstLine="600" w:firstLineChars="20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lang w:val="en-US" w:eastAsia="zh-CN"/>
        </w:rPr>
        <w:t>7.</w:t>
      </w:r>
      <w:r>
        <w:rPr>
          <w:rStyle w:val="11"/>
          <w:rFonts w:hint="eastAsia" w:ascii="楷体_GB2312" w:hAnsi="宋体" w:eastAsia="楷体_GB2312"/>
          <w:color w:val="auto"/>
          <w:sz w:val="30"/>
          <w:szCs w:val="30"/>
        </w:rPr>
        <w:t>医疗器械或医药产业市级及以上培训基地或工程技术研究中心，该机构需具备市级及以上人力资源和社会保障部或科学技术委员会等批准,专门从事医疗器械或医药产业专业培训的继续教育平台或科研服务平台。</w:t>
      </w:r>
    </w:p>
    <w:p>
      <w:pPr>
        <w:spacing w:line="560" w:lineRule="exact"/>
        <w:ind w:firstLine="582" w:firstLineChars="194"/>
        <w:rPr>
          <w:rStyle w:val="11"/>
          <w:rFonts w:ascii="楷体_GB2312" w:hAnsi="宋体" w:eastAsia="楷体_GB2312"/>
          <w:color w:val="auto"/>
          <w:sz w:val="30"/>
          <w:szCs w:val="30"/>
        </w:rPr>
      </w:pPr>
      <w:r>
        <w:rPr>
          <w:rStyle w:val="11"/>
          <w:rFonts w:hint="eastAsia" w:ascii="楷体_GB2312" w:hAnsi="宋体" w:eastAsia="楷体_GB2312"/>
          <w:color w:val="auto"/>
          <w:sz w:val="30"/>
          <w:szCs w:val="30"/>
          <w:lang w:val="en-US" w:eastAsia="zh-CN"/>
        </w:rPr>
        <w:t>8.</w:t>
      </w:r>
      <w:r>
        <w:rPr>
          <w:rStyle w:val="11"/>
          <w:rFonts w:hint="eastAsia" w:ascii="楷体_GB2312" w:hAnsi="宋体" w:eastAsia="楷体_GB2312"/>
          <w:color w:val="auto"/>
          <w:sz w:val="30"/>
          <w:szCs w:val="30"/>
        </w:rPr>
        <w:t>甲方认定的其它生物产业类公共服务平台。</w:t>
      </w:r>
    </w:p>
    <w:p>
      <w:pPr>
        <w:spacing w:line="560" w:lineRule="exact"/>
        <w:ind w:firstLine="570"/>
        <w:rPr>
          <w:rStyle w:val="11"/>
          <w:rFonts w:ascii="楷体_GB2312" w:hAnsi="宋体" w:eastAsia="楷体_GB2312"/>
          <w:b/>
          <w:bCs/>
          <w:color w:val="auto"/>
          <w:sz w:val="30"/>
          <w:szCs w:val="30"/>
        </w:rPr>
      </w:pPr>
    </w:p>
    <w:p>
      <w:pPr>
        <w:spacing w:line="560" w:lineRule="exact"/>
        <w:ind w:firstLine="570"/>
        <w:rPr>
          <w:rStyle w:val="11"/>
          <w:rFonts w:ascii="楷体_GB2312" w:hAnsi="宋体" w:eastAsia="楷体_GB2312"/>
          <w:b/>
          <w:bCs/>
          <w:color w:val="auto"/>
          <w:sz w:val="30"/>
          <w:szCs w:val="30"/>
        </w:rPr>
      </w:pPr>
      <w:r>
        <w:rPr>
          <w:rStyle w:val="11"/>
          <w:rFonts w:ascii="楷体_GB2312" w:hAnsi="宋体" w:eastAsia="楷体_GB2312"/>
          <w:b/>
          <w:bCs/>
          <w:color w:val="auto"/>
          <w:sz w:val="30"/>
          <w:szCs w:val="30"/>
        </w:rPr>
        <w:t>五、履约核查</w:t>
      </w:r>
    </w:p>
    <w:p>
      <w:pPr>
        <w:spacing w:line="560" w:lineRule="exact"/>
        <w:ind w:firstLine="600" w:firstLineChars="200"/>
        <w:rPr>
          <w:rStyle w:val="11"/>
          <w:rFonts w:ascii="楷体_GB2312" w:hAnsi="宋体" w:eastAsia="楷体_GB2312"/>
          <w:bCs/>
          <w:color w:val="auto"/>
          <w:sz w:val="30"/>
          <w:szCs w:val="30"/>
        </w:rPr>
      </w:pPr>
      <w:r>
        <w:rPr>
          <w:rStyle w:val="11"/>
          <w:rFonts w:ascii="楷体_GB2312" w:hAnsi="宋体" w:eastAsia="楷体_GB2312"/>
          <w:color w:val="auto"/>
          <w:sz w:val="30"/>
          <w:szCs w:val="30"/>
        </w:rPr>
        <w:t>项目建成使用（竣工验收合格并取得建设部门出具的《竣工验收备案收文回执》）后</w:t>
      </w:r>
      <w:r>
        <w:rPr>
          <w:rStyle w:val="11"/>
          <w:rFonts w:ascii="楷体_GB2312" w:hAnsi="宋体" w:eastAsia="楷体_GB2312"/>
          <w:bCs/>
          <w:color w:val="auto"/>
          <w:sz w:val="30"/>
          <w:szCs w:val="30"/>
        </w:rPr>
        <w:t>1年内、建成使用后每隔5年、出让年期届满前1年等阶段后90日内，乙方应向甲方提出履约核查申请。甲方可自行或委托专业机构对本协议约定事项的履行情况进行核查。</w:t>
      </w:r>
    </w:p>
    <w:p>
      <w:pPr>
        <w:spacing w:line="560" w:lineRule="exact"/>
        <w:ind w:firstLine="570"/>
        <w:rPr>
          <w:rStyle w:val="11"/>
          <w:rFonts w:hint="eastAsia" w:ascii="楷体_GB2312" w:hAnsi="宋体" w:eastAsia="楷体_GB2312"/>
          <w:bCs/>
          <w:color w:val="auto"/>
          <w:sz w:val="30"/>
          <w:szCs w:val="30"/>
          <w:lang w:val="en-US" w:eastAsia="zh-CN"/>
        </w:rPr>
      </w:pPr>
      <w:r>
        <w:rPr>
          <w:rStyle w:val="11"/>
          <w:rFonts w:ascii="楷体_GB2312" w:hAnsi="宋体" w:eastAsia="楷体_GB2312"/>
          <w:bCs/>
          <w:color w:val="auto"/>
          <w:sz w:val="30"/>
          <w:szCs w:val="30"/>
        </w:rPr>
        <w:t>单项审验不合格的，甲方有权要求乙方进行整改，并有权再次进行专项审验。</w:t>
      </w:r>
    </w:p>
    <w:p>
      <w:pPr>
        <w:spacing w:line="560" w:lineRule="exact"/>
        <w:ind w:firstLine="570"/>
        <w:rPr>
          <w:rStyle w:val="11"/>
          <w:rFonts w:hint="eastAsia" w:ascii="楷体" w:hAnsi="楷体" w:eastAsia="楷体" w:cs="楷体"/>
          <w:bCs/>
          <w:color w:val="auto"/>
          <w:sz w:val="30"/>
          <w:szCs w:val="30"/>
          <w:lang w:eastAsia="zh-CN"/>
        </w:rPr>
      </w:pPr>
      <w:r>
        <w:rPr>
          <w:rStyle w:val="11"/>
          <w:rFonts w:ascii="楷体" w:hAnsi="楷体" w:eastAsia="楷体" w:cs="楷体"/>
          <w:bCs/>
          <w:color w:val="auto"/>
          <w:sz w:val="30"/>
          <w:szCs w:val="30"/>
        </w:rPr>
        <w:t>本协议履行期间，甲方可根据乙方履约情况调整履约核查的时间和频率，确保乙方在本协议项下的各项义务得到全面履行</w:t>
      </w:r>
      <w:r>
        <w:rPr>
          <w:rStyle w:val="11"/>
          <w:rFonts w:hint="eastAsia" w:ascii="楷体" w:hAnsi="楷体" w:eastAsia="楷体" w:cs="楷体"/>
          <w:bCs/>
          <w:color w:val="auto"/>
          <w:sz w:val="30"/>
          <w:szCs w:val="30"/>
          <w:lang w:eastAsia="zh-CN"/>
        </w:rPr>
        <w:t>。</w:t>
      </w:r>
    </w:p>
    <w:p>
      <w:pPr>
        <w:spacing w:line="560" w:lineRule="exact"/>
        <w:ind w:firstLine="570"/>
        <w:rPr>
          <w:rStyle w:val="11"/>
          <w:rFonts w:hint="eastAsia" w:ascii="楷体_GB2312" w:hAnsi="宋体" w:eastAsia="楷体"/>
          <w:bCs/>
          <w:color w:val="auto"/>
          <w:sz w:val="30"/>
          <w:szCs w:val="30"/>
          <w:lang w:val="en-US" w:eastAsia="zh-CN"/>
        </w:rPr>
      </w:pPr>
      <w:r>
        <w:rPr>
          <w:rStyle w:val="11"/>
          <w:rFonts w:hint="eastAsia" w:ascii="楷体" w:hAnsi="楷体" w:eastAsia="楷体" w:cs="楷体"/>
          <w:bCs/>
          <w:color w:val="auto"/>
          <w:sz w:val="30"/>
          <w:szCs w:val="30"/>
          <w:lang w:val="en-US" w:eastAsia="zh-CN"/>
        </w:rPr>
        <w:t>如乙方开展租赁业务，应在</w:t>
      </w:r>
      <w:r>
        <w:rPr>
          <w:rStyle w:val="11"/>
          <w:rFonts w:ascii="楷体_GB2312" w:hAnsi="宋体" w:eastAsia="楷体_GB2312"/>
          <w:color w:val="auto"/>
          <w:sz w:val="30"/>
          <w:szCs w:val="30"/>
        </w:rPr>
        <w:t>项目建成使用</w:t>
      </w:r>
      <w:r>
        <w:rPr>
          <w:rStyle w:val="11"/>
          <w:rFonts w:hint="eastAsia" w:ascii="楷体_GB2312" w:hAnsi="宋体" w:eastAsia="楷体_GB2312"/>
          <w:color w:val="auto"/>
          <w:sz w:val="30"/>
          <w:szCs w:val="30"/>
        </w:rPr>
        <w:t>（竣工验收合格并取得建设部门出具的《竣工验收备案收文回执》）</w:t>
      </w:r>
      <w:r>
        <w:rPr>
          <w:rStyle w:val="11"/>
          <w:rFonts w:hint="eastAsia" w:ascii="楷体_GB2312" w:hAnsi="宋体" w:eastAsia="楷体_GB2312"/>
          <w:color w:val="auto"/>
          <w:sz w:val="30"/>
          <w:szCs w:val="30"/>
          <w:lang w:val="en-US" w:eastAsia="zh-CN"/>
        </w:rPr>
        <w:t>后</w:t>
      </w:r>
      <w:r>
        <w:rPr>
          <w:rStyle w:val="11"/>
          <w:rFonts w:hint="eastAsia" w:ascii="楷体" w:hAnsi="楷体" w:eastAsia="楷体" w:cs="楷体"/>
          <w:bCs/>
          <w:color w:val="auto"/>
          <w:sz w:val="30"/>
          <w:szCs w:val="30"/>
          <w:lang w:val="en-US" w:eastAsia="zh-CN"/>
        </w:rPr>
        <w:t>每半年度第一个工作日起10日内向甲方提供租赁对象租赁合同信息以及注册地迁改情况及相关佐证材料进行核验。</w:t>
      </w:r>
    </w:p>
    <w:p>
      <w:pPr>
        <w:spacing w:line="560" w:lineRule="exact"/>
        <w:ind w:firstLine="570"/>
        <w:rPr>
          <w:rStyle w:val="11"/>
          <w:rFonts w:ascii="楷体_GB2312" w:hAnsi="宋体" w:eastAsia="楷体_GB2312"/>
          <w:b/>
          <w:bCs/>
          <w:color w:val="auto"/>
          <w:sz w:val="30"/>
          <w:szCs w:val="30"/>
        </w:rPr>
      </w:pPr>
    </w:p>
    <w:p>
      <w:pPr>
        <w:numPr>
          <w:ilvl w:val="0"/>
          <w:numId w:val="2"/>
        </w:numPr>
        <w:spacing w:line="560" w:lineRule="exact"/>
        <w:ind w:firstLine="570"/>
        <w:rPr>
          <w:rStyle w:val="11"/>
          <w:rFonts w:ascii="楷体_GB2312" w:hAnsi="宋体" w:eastAsia="楷体_GB2312"/>
          <w:b/>
          <w:bCs/>
          <w:color w:val="auto"/>
          <w:sz w:val="30"/>
          <w:szCs w:val="30"/>
        </w:rPr>
      </w:pPr>
      <w:r>
        <w:rPr>
          <w:rStyle w:val="11"/>
          <w:rFonts w:ascii="楷体_GB2312" w:hAnsi="宋体" w:eastAsia="楷体_GB2312"/>
          <w:b/>
          <w:bCs/>
          <w:color w:val="auto"/>
          <w:sz w:val="30"/>
          <w:szCs w:val="30"/>
        </w:rPr>
        <w:t>退出机制</w:t>
      </w:r>
    </w:p>
    <w:p>
      <w:pPr>
        <w:numPr>
          <w:ilvl w:val="0"/>
          <w:numId w:val="3"/>
        </w:numPr>
        <w:spacing w:line="560" w:lineRule="exact"/>
        <w:ind w:firstLine="570"/>
        <w:rPr>
          <w:rStyle w:val="11"/>
          <w:rFonts w:ascii="楷体_GB2312" w:hAnsi="宋体" w:eastAsia="楷体_GB2312"/>
          <w:color w:val="auto"/>
          <w:sz w:val="30"/>
          <w:szCs w:val="30"/>
        </w:rPr>
      </w:pPr>
      <w:r>
        <w:rPr>
          <w:rStyle w:val="11"/>
          <w:rFonts w:hint="eastAsia" w:ascii="楷体_GB2312" w:hAnsi="宋体" w:eastAsia="楷体_GB2312"/>
          <w:color w:val="auto"/>
          <w:sz w:val="30"/>
          <w:szCs w:val="30"/>
          <w:lang w:val="en-US" w:eastAsia="zh-CN"/>
        </w:rPr>
        <w:t>竣工</w:t>
      </w:r>
      <w:r>
        <w:rPr>
          <w:rStyle w:val="11"/>
          <w:rFonts w:ascii="楷体_GB2312" w:hAnsi="宋体" w:eastAsia="楷体_GB2312"/>
          <w:color w:val="auto"/>
          <w:sz w:val="30"/>
          <w:szCs w:val="30"/>
        </w:rPr>
        <w:t>前退出</w:t>
      </w:r>
    </w:p>
    <w:p>
      <w:pPr>
        <w:spacing w:line="560" w:lineRule="exact"/>
        <w:ind w:firstLine="600" w:firstLineChars="200"/>
        <w:rPr>
          <w:rStyle w:val="11"/>
          <w:rFonts w:ascii="楷体_GB2312" w:hAnsi="宋体" w:eastAsia="楷体_GB2312"/>
          <w:color w:val="auto"/>
          <w:sz w:val="30"/>
          <w:szCs w:val="30"/>
        </w:rPr>
      </w:pPr>
      <w:r>
        <w:rPr>
          <w:rStyle w:val="11"/>
          <w:rFonts w:ascii="楷体_GB2312" w:hAnsi="宋体" w:eastAsia="楷体_GB2312"/>
          <w:color w:val="auto"/>
          <w:sz w:val="30"/>
          <w:szCs w:val="30"/>
        </w:rPr>
        <w:t>乙方因自身原因终止项目投资建设，提出终止履行土地使用权出让合同并申请退还土地的，乙方报经批准土地出让方案的人民政府批准后，分别按以下约定，退还部分土地使用权出让价款（不计利息），由土地出让人收回建设用地，地上建筑物及构筑物的补偿方式在土地使用权出让合同中予以明确：</w:t>
      </w:r>
    </w:p>
    <w:p>
      <w:pPr>
        <w:spacing w:line="560" w:lineRule="exact"/>
        <w:rPr>
          <w:rStyle w:val="11"/>
          <w:rFonts w:ascii="楷体_GB2312" w:hAnsi="宋体" w:eastAsia="楷体_GB2312"/>
          <w:color w:val="auto"/>
          <w:sz w:val="30"/>
          <w:szCs w:val="30"/>
        </w:rPr>
      </w:pPr>
      <w:r>
        <w:rPr>
          <w:rStyle w:val="11"/>
          <w:rFonts w:ascii="楷体_GB2312" w:hAnsi="宋体" w:eastAsia="楷体_GB2312"/>
          <w:color w:val="auto"/>
          <w:sz w:val="30"/>
          <w:szCs w:val="30"/>
        </w:rPr>
        <w:t xml:space="preserve">    1.超过土地使用权出让合同约定的</w:t>
      </w:r>
      <w:r>
        <w:rPr>
          <w:rStyle w:val="11"/>
          <w:rFonts w:hint="eastAsia" w:ascii="楷体_GB2312" w:hAnsi="宋体" w:eastAsia="楷体_GB2312"/>
          <w:color w:val="auto"/>
          <w:sz w:val="30"/>
          <w:szCs w:val="30"/>
          <w:lang w:val="en-US" w:eastAsia="zh-CN"/>
        </w:rPr>
        <w:t>竣工</w:t>
      </w:r>
      <w:r>
        <w:rPr>
          <w:rStyle w:val="11"/>
          <w:rFonts w:ascii="楷体_GB2312" w:hAnsi="宋体" w:eastAsia="楷体_GB2312"/>
          <w:color w:val="auto"/>
          <w:sz w:val="30"/>
          <w:szCs w:val="30"/>
        </w:rPr>
        <w:t>日期但未满1年向土地出让人提出申请的，将已缴纳合同剩余年期的土地价款退还土地使用权人；</w:t>
      </w:r>
    </w:p>
    <w:p>
      <w:pPr>
        <w:spacing w:line="560" w:lineRule="exact"/>
        <w:rPr>
          <w:rStyle w:val="11"/>
          <w:rFonts w:ascii="楷体_GB2312" w:hAnsi="宋体" w:eastAsia="楷体_GB2312"/>
          <w:color w:val="auto"/>
          <w:sz w:val="30"/>
          <w:szCs w:val="30"/>
        </w:rPr>
      </w:pPr>
      <w:r>
        <w:rPr>
          <w:rStyle w:val="11"/>
          <w:rFonts w:ascii="楷体_GB2312" w:hAnsi="宋体" w:eastAsia="楷体_GB2312"/>
          <w:color w:val="auto"/>
          <w:sz w:val="30"/>
          <w:szCs w:val="30"/>
        </w:rPr>
        <w:t xml:space="preserve">    2.超过土地使用权出让合同约定的</w:t>
      </w:r>
      <w:r>
        <w:rPr>
          <w:rStyle w:val="11"/>
          <w:rFonts w:hint="eastAsia" w:ascii="楷体_GB2312" w:hAnsi="宋体" w:eastAsia="楷体_GB2312"/>
          <w:color w:val="auto"/>
          <w:sz w:val="30"/>
          <w:szCs w:val="30"/>
          <w:lang w:val="en-US" w:eastAsia="zh-CN"/>
        </w:rPr>
        <w:t>竣工</w:t>
      </w:r>
      <w:r>
        <w:rPr>
          <w:rStyle w:val="11"/>
          <w:rFonts w:ascii="楷体_GB2312" w:hAnsi="宋体" w:eastAsia="楷体_GB2312"/>
          <w:color w:val="auto"/>
          <w:sz w:val="30"/>
          <w:szCs w:val="30"/>
        </w:rPr>
        <w:t>日期1年但未满2年向土地出让人提出申请的，按照规定征收土地闲置费用后，将已缴纳合同剩余年期的土地价款退还土地使用权人；</w:t>
      </w:r>
    </w:p>
    <w:p>
      <w:pPr>
        <w:spacing w:line="560" w:lineRule="exact"/>
        <w:rPr>
          <w:rStyle w:val="11"/>
          <w:rFonts w:ascii="楷体_GB2312" w:hAnsi="宋体" w:eastAsia="楷体_GB2312"/>
          <w:color w:val="auto"/>
          <w:sz w:val="30"/>
          <w:szCs w:val="30"/>
        </w:rPr>
      </w:pPr>
      <w:r>
        <w:rPr>
          <w:rStyle w:val="11"/>
          <w:rFonts w:ascii="楷体_GB2312" w:hAnsi="宋体" w:eastAsia="楷体_GB2312"/>
          <w:color w:val="auto"/>
          <w:sz w:val="30"/>
          <w:szCs w:val="30"/>
        </w:rPr>
        <w:t xml:space="preserve">    报经批准土地出让方案的人民政府后未获得批准的，乙方应继续履行土地使用权出让合同；拒不履行的，建设用地和地上建筑物、构筑物及其附属设施由土地出让人无偿收回；涉嫌闲置的，应当依法依规依约处置。</w:t>
      </w:r>
    </w:p>
    <w:p>
      <w:pPr>
        <w:numPr>
          <w:ilvl w:val="0"/>
          <w:numId w:val="3"/>
        </w:numPr>
        <w:spacing w:line="560" w:lineRule="exact"/>
        <w:ind w:firstLine="570"/>
        <w:textAlignment w:val="auto"/>
        <w:rPr>
          <w:rStyle w:val="11"/>
          <w:rFonts w:ascii="楷体_GB2312" w:hAnsi="宋体" w:eastAsia="楷体_GB2312"/>
          <w:color w:val="auto"/>
          <w:sz w:val="30"/>
          <w:szCs w:val="30"/>
        </w:rPr>
      </w:pPr>
      <w:r>
        <w:rPr>
          <w:rStyle w:val="11"/>
          <w:rFonts w:hint="eastAsia" w:ascii="楷体_GB2312" w:hAnsi="宋体" w:eastAsia="楷体_GB2312"/>
          <w:color w:val="auto"/>
          <w:sz w:val="30"/>
          <w:szCs w:val="30"/>
          <w:lang w:val="en-US" w:eastAsia="zh-CN"/>
        </w:rPr>
        <w:t>竣工</w:t>
      </w:r>
      <w:r>
        <w:rPr>
          <w:rStyle w:val="11"/>
          <w:rFonts w:ascii="楷体_GB2312" w:hAnsi="宋体" w:eastAsia="楷体_GB2312"/>
          <w:color w:val="auto"/>
          <w:sz w:val="30"/>
          <w:szCs w:val="30"/>
        </w:rPr>
        <w:t>后退出</w:t>
      </w:r>
    </w:p>
    <w:p>
      <w:pPr>
        <w:spacing w:line="560" w:lineRule="exact"/>
        <w:ind w:firstLine="600" w:firstLineChars="200"/>
        <w:rPr>
          <w:rStyle w:val="11"/>
          <w:rFonts w:ascii="楷体_GB2312" w:hAnsi="宋体" w:eastAsia="楷体_GB2312"/>
          <w:color w:val="auto"/>
          <w:sz w:val="30"/>
          <w:szCs w:val="30"/>
        </w:rPr>
      </w:pPr>
      <w:r>
        <w:rPr>
          <w:rStyle w:val="11"/>
          <w:rFonts w:ascii="楷体_GB2312" w:hAnsi="宋体" w:eastAsia="楷体_GB2312"/>
          <w:color w:val="auto"/>
          <w:sz w:val="30"/>
          <w:szCs w:val="30"/>
        </w:rPr>
        <w:t>如乙方在</w:t>
      </w:r>
      <w:r>
        <w:rPr>
          <w:rStyle w:val="11"/>
          <w:rFonts w:hint="eastAsia" w:ascii="楷体_GB2312" w:hAnsi="宋体" w:eastAsia="楷体_GB2312"/>
          <w:color w:val="auto"/>
          <w:sz w:val="30"/>
          <w:szCs w:val="30"/>
        </w:rPr>
        <w:t>项目</w:t>
      </w:r>
      <w:r>
        <w:rPr>
          <w:rStyle w:val="11"/>
          <w:rFonts w:hint="eastAsia" w:ascii="楷体_GB2312" w:hAnsi="宋体" w:eastAsia="楷体_GB2312"/>
          <w:color w:val="auto"/>
          <w:sz w:val="30"/>
          <w:szCs w:val="30"/>
          <w:lang w:val="en-US" w:eastAsia="zh-CN"/>
        </w:rPr>
        <w:t>竣</w:t>
      </w:r>
      <w:r>
        <w:rPr>
          <w:rStyle w:val="11"/>
          <w:rFonts w:hint="eastAsia" w:ascii="楷体_GB2312" w:hAnsi="宋体" w:eastAsia="楷体_GB2312"/>
          <w:color w:val="auto"/>
          <w:sz w:val="30"/>
          <w:szCs w:val="30"/>
        </w:rPr>
        <w:t>工后</w:t>
      </w:r>
      <w:r>
        <w:rPr>
          <w:rStyle w:val="11"/>
          <w:rFonts w:ascii="楷体_GB2312" w:hAnsi="宋体" w:eastAsia="楷体_GB2312"/>
          <w:color w:val="auto"/>
          <w:sz w:val="30"/>
          <w:szCs w:val="30"/>
        </w:rPr>
        <w:t>因自身原因无法运营，可以申请解除土地使用权出让合同。土地出让人可以按照约定终止土地使用权出让合同，收回建设用地，返还剩余年期土地出让价款；对地上建筑物、构筑物及其附属设施由土地出让人按照建造成本折旧后对土地使用权人进行补偿。</w:t>
      </w:r>
    </w:p>
    <w:p>
      <w:pPr>
        <w:spacing w:line="560" w:lineRule="exact"/>
        <w:ind w:firstLine="600" w:firstLineChars="200"/>
        <w:rPr>
          <w:rStyle w:val="11"/>
          <w:rFonts w:ascii="楷体_GB2312" w:hAnsi="宋体" w:eastAsia="楷体_GB2312"/>
          <w:color w:val="auto"/>
          <w:sz w:val="30"/>
          <w:szCs w:val="30"/>
        </w:rPr>
      </w:pPr>
    </w:p>
    <w:p>
      <w:pPr>
        <w:spacing w:line="560" w:lineRule="exact"/>
        <w:ind w:firstLine="570"/>
        <w:rPr>
          <w:rStyle w:val="11"/>
          <w:rFonts w:ascii="楷体_GB2312" w:hAnsi="宋体" w:eastAsia="楷体_GB2312"/>
          <w:b/>
          <w:bCs/>
          <w:color w:val="auto"/>
          <w:sz w:val="30"/>
          <w:szCs w:val="30"/>
        </w:rPr>
      </w:pPr>
      <w:r>
        <w:rPr>
          <w:rStyle w:val="11"/>
          <w:rFonts w:ascii="楷体_GB2312" w:hAnsi="宋体" w:eastAsia="楷体_GB2312"/>
          <w:b/>
          <w:bCs/>
          <w:color w:val="auto"/>
          <w:sz w:val="30"/>
          <w:szCs w:val="30"/>
        </w:rPr>
        <w:t>七、法律责任</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（一）乙方违反本协议第四条“乙方权利和义务”约定要求的，甲方有权采取或建议市监、税务等相关部门采取暂停办理企业相关业务手续、停止对乙方提供有关优惠政策等措施。</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（二）经甲方核查，乙方履约考核未通过的，甲方要求乙方进行限期整改；对未按要求整改的，甲方有权建议</w:t>
      </w:r>
      <w:r>
        <w:rPr>
          <w:rStyle w:val="11"/>
          <w:rFonts w:hint="eastAsia" w:ascii="楷体_GB2312" w:hAnsi="宋体" w:eastAsia="楷体_GB2312"/>
          <w:color w:val="auto"/>
          <w:sz w:val="30"/>
          <w:szCs w:val="30"/>
          <w:lang w:val="en-US" w:eastAsia="zh-CN"/>
        </w:rPr>
        <w:t>市监、税务等职能</w:t>
      </w:r>
      <w:r>
        <w:rPr>
          <w:rStyle w:val="11"/>
          <w:rFonts w:hint="eastAsia" w:ascii="楷体_GB2312" w:hAnsi="宋体" w:eastAsia="楷体_GB2312"/>
          <w:color w:val="auto"/>
          <w:sz w:val="30"/>
          <w:szCs w:val="30"/>
        </w:rPr>
        <w:t>部门将乙方列入失信“黑名单”，并报送至市公共信用信息管理系统，甲方可建议</w:t>
      </w:r>
      <w:r>
        <w:rPr>
          <w:rStyle w:val="11"/>
          <w:rFonts w:hint="eastAsia" w:ascii="楷体_GB2312" w:hAnsi="宋体" w:eastAsia="楷体_GB2312"/>
          <w:color w:val="auto"/>
          <w:sz w:val="30"/>
          <w:szCs w:val="30"/>
          <w:lang w:val="en-US" w:eastAsia="zh-CN"/>
        </w:rPr>
        <w:t>市监、税务等</w:t>
      </w:r>
      <w:r>
        <w:rPr>
          <w:rStyle w:val="11"/>
          <w:rFonts w:hint="eastAsia" w:ascii="楷体_GB2312" w:hAnsi="宋体" w:eastAsia="楷体_GB2312"/>
          <w:color w:val="auto"/>
          <w:sz w:val="30"/>
          <w:szCs w:val="30"/>
        </w:rPr>
        <w:t>职能部门依照职责分工，对失信主体依法依规实施联合惩戒。</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（三）乙方违反本协议约定，应承担违约金的情形：</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1.经甲方核查，在该宗地上建设项目的固定资产投资强度达不到本协议约定要求且在无法在甲方要求的时限内进行整改的，自甲方出具核查不合格通知书之日起20日内，乙方应向甲方缴纳固定资产投资强度不足部分的5% 即{（约定固定资产投资强度-实际固定资产投资强度）×总用地面积×5%}作为违约金。</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自甲方出具核查不合格通知书之日起满一年经再次核查仍不合格的，乙方应每年（自甲方发出缴款通知书之日起20日内）向甲方缴纳固定资产投资强度不足部分5%的违约金，直到经核查投资强度达到约定要求为止。</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2.乙方不按时向甲方提出核查申请</w:t>
      </w:r>
      <w:r>
        <w:rPr>
          <w:rStyle w:val="11"/>
          <w:rFonts w:hint="eastAsia" w:ascii="楷体_GB2312" w:hAnsi="宋体" w:eastAsia="楷体_GB2312"/>
          <w:color w:val="auto"/>
          <w:sz w:val="30"/>
          <w:szCs w:val="30"/>
          <w:lang w:val="en-US" w:eastAsia="zh-CN"/>
        </w:rPr>
        <w:t>或开展租赁业务不按时将租赁对象信息向甲方核验的</w:t>
      </w:r>
      <w:r>
        <w:rPr>
          <w:rStyle w:val="11"/>
          <w:rFonts w:hint="eastAsia" w:ascii="楷体_GB2312" w:hAnsi="宋体" w:eastAsia="楷体_GB2312"/>
          <w:color w:val="auto"/>
          <w:sz w:val="30"/>
          <w:szCs w:val="30"/>
        </w:rPr>
        <w:t>，自甲方发出缴款通知书之日起20日内，乙方应向甲方交纳10万元违约金，且不因此解除乙方的核查申请</w:t>
      </w:r>
      <w:r>
        <w:rPr>
          <w:rStyle w:val="11"/>
          <w:rFonts w:hint="eastAsia" w:ascii="楷体_GB2312" w:hAnsi="宋体" w:eastAsia="楷体_GB2312"/>
          <w:color w:val="auto"/>
          <w:sz w:val="30"/>
          <w:szCs w:val="30"/>
          <w:lang w:val="en-US" w:eastAsia="zh-CN"/>
        </w:rPr>
        <w:t>及租赁对象信息核验备案</w:t>
      </w:r>
      <w:r>
        <w:rPr>
          <w:rStyle w:val="11"/>
          <w:rFonts w:hint="eastAsia" w:ascii="楷体_GB2312" w:hAnsi="宋体" w:eastAsia="楷体_GB2312"/>
          <w:color w:val="auto"/>
          <w:sz w:val="30"/>
          <w:szCs w:val="30"/>
        </w:rPr>
        <w:t>义务；乙方不配合甲方核查的，自甲方发出缴款通知书之日起20日内，乙方应向甲方交纳20万元违约金，且不因此解除乙方的核查申请</w:t>
      </w:r>
      <w:r>
        <w:rPr>
          <w:rStyle w:val="11"/>
          <w:rFonts w:hint="eastAsia" w:ascii="楷体_GB2312" w:hAnsi="宋体" w:eastAsia="楷体_GB2312"/>
          <w:color w:val="auto"/>
          <w:sz w:val="30"/>
          <w:szCs w:val="30"/>
          <w:lang w:val="en-US" w:eastAsia="zh-CN"/>
        </w:rPr>
        <w:t>租赁对象信息备案义</w:t>
      </w:r>
      <w:r>
        <w:rPr>
          <w:rStyle w:val="11"/>
          <w:rFonts w:hint="eastAsia" w:ascii="楷体_GB2312" w:hAnsi="宋体" w:eastAsia="楷体_GB2312"/>
          <w:color w:val="auto"/>
          <w:sz w:val="30"/>
          <w:szCs w:val="30"/>
        </w:rPr>
        <w:t>务。</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3.经甲方核查，在该宗地上建设项目的税收贡献未达到本协议约定要求的，自甲方出具《履约核查不合格通知书》之日起20日内，乙方应向甲方以下列方式缴纳违约金，违约金金额=（承诺期内企业承诺形成的税收贡献-承诺期内企业实际形成的税收贡献）X2。</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4.经甲方核查，产值规模（营业收入）未达到本协议约定要求的，自甲方出具《履约核查不合格通知书》之日起20日内，乙方应向甲方以下列方式缴纳违约金，违约金金额=（承诺期内企业承诺形成的产值或营业收入-承诺期内企业实际形成的产值或营业收入）X1%。</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5.经甲方核查，如乙方开展租赁业务，将本项目产业用房违反本协议约定出租或变相出售给不符合本协议规定的法人、其他组织、自然人或者租赁对象未能达到本协议相关指标要求的，甲方有权书面责令乙方在3个月内通过收回已售、已出租房屋的方式完成整改，拒不整改的，乙方应按违约所得收益的同等金额向甲方交纳违约金，且不因此解除乙方对于租赁对象的相关义务。</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6.经甲方核查，如乙方开展租赁服务，未能按本协议规定引入符合要求的公共服务平台或该平台未能正常对外提供服务的，甲方有权责令乙方期限内整改。拒不整改的，乙方应按该宗地土地价款的20%向甲方支付违约金，且不因此解除乙方对于公共服务平台相关义务。</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7.未经甲方批准，乙方以违反本协议约定的转让或者股权变更等方式擅自或变相变更该地块产业类别用途、开发条件；或未取得坪山区政府及相关土地行政主管部门同意，擅自变更主要股东出资比例、公司股权结构</w:t>
      </w:r>
      <w:r>
        <w:rPr>
          <w:rStyle w:val="11"/>
          <w:rFonts w:hint="eastAsia" w:ascii="楷体_GB2312" w:hAnsi="宋体" w:eastAsia="楷体_GB2312"/>
          <w:color w:val="auto"/>
          <w:sz w:val="30"/>
          <w:szCs w:val="30"/>
          <w:lang w:eastAsia="zh-CN"/>
        </w:rPr>
        <w:t>；</w:t>
      </w:r>
      <w:r>
        <w:rPr>
          <w:rStyle w:val="11"/>
          <w:rFonts w:hint="eastAsia" w:ascii="楷体_GB2312" w:hAnsi="宋体" w:eastAsia="楷体_GB2312"/>
          <w:color w:val="auto"/>
          <w:sz w:val="30"/>
          <w:szCs w:val="30"/>
        </w:rPr>
        <w:t xml:space="preserve">违反坪山区的产业政策及发展要求；且拒不整改的，应按照违约行为当年该宗地土地市场评估价向甲方支付违约金（甲方委托第三方专业机构对地价进行评估，相关费用均由乙方承担），且甲方可建议市规划和自然资源部门依照《深圳经济特区土地使用权出让条例》等法规的有关规定予以处罚。 </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乙方按照本条约定应当支付违约金的情况下，未如期缴纳违约金的，违约金按每日万分之二计息，直至缴清违约金及利息为止。</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四）乙方出现下列情形之一的，甲方有权解除合同并知会深圳市规划和自然资源局坪山管理局解除土地使用权出让合同，无偿收回土地使用权。地上建筑物、构筑物及其附属设施由土地出让人以成本价减折旧后的价格进行补偿。</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1.乙方在土地出让年期内将注册地址变更到坪山区以外地区的或逾期未完成将注册地址变更到坪山区的；</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2.自项目竣工验收后，甲方向乙方首次出具《履约核查不合格通知书》之日起，连续5年项目固定资产投资强度仍都未达到本协议要求的；</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3.经甲方核查，如乙方自主开展生产项目，乙方承诺期届满后连续5年项目的产值规模（营业收入）仍都未达到本协议要求的；</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4.经甲方核查，如乙方自主开展生产项目，乙方承诺期届满后连续5年项目的税收贡献仍都未达到本协议要求的；</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5.经甲方核查，如乙方开展租赁业务，将本项目除去本协议要求引进公共服务平台外剩余建筑面积的30%产业用房违反本协议约定出租或变相出售给不符合本协议规定的法人、自然人、其他组织的；</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6.乙方在经营生产过程中严重违反国家、省、市环保、安全生产等相关法律法规规定和政策要求，并拒不改正或整改后未达标的。</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7.未取得坪山区政府及相关土地行政主管部门同意，乙方擅自变更主要股东出资比例、公司股权结构，且拒不缴纳违约金的；</w:t>
      </w:r>
    </w:p>
    <w:p>
      <w:pPr>
        <w:spacing w:line="560" w:lineRule="exact"/>
        <w:ind w:firstLine="570"/>
        <w:rPr>
          <w:rStyle w:val="11"/>
          <w:rFonts w:hint="eastAsia" w:ascii="楷体_GB2312" w:hAnsi="宋体" w:eastAsia="楷体_GB2312"/>
          <w:color w:val="auto"/>
          <w:sz w:val="30"/>
          <w:szCs w:val="30"/>
        </w:rPr>
      </w:pPr>
      <w:r>
        <w:rPr>
          <w:rStyle w:val="11"/>
          <w:rFonts w:hint="eastAsia" w:ascii="楷体_GB2312" w:hAnsi="宋体" w:eastAsia="楷体_GB2312"/>
          <w:color w:val="auto"/>
          <w:sz w:val="30"/>
          <w:szCs w:val="30"/>
        </w:rPr>
        <w:t>8.除不可抗力外，因乙方自身原因未按约定期限投产和达产，已超过合理期限且被不准予延期的。</w:t>
      </w:r>
    </w:p>
    <w:p>
      <w:pPr>
        <w:spacing w:line="560" w:lineRule="exact"/>
        <w:ind w:firstLine="645"/>
        <w:jc w:val="left"/>
        <w:rPr>
          <w:rStyle w:val="11"/>
          <w:rFonts w:ascii="楷体_GB2312" w:hAnsi="宋体" w:eastAsia="楷体_GB2312"/>
          <w:color w:val="auto"/>
          <w:sz w:val="30"/>
          <w:szCs w:val="30"/>
        </w:rPr>
      </w:pPr>
      <w:r>
        <w:rPr>
          <w:rStyle w:val="11"/>
          <w:rFonts w:hint="eastAsia" w:ascii="楷体_GB2312" w:hAnsi="宋体" w:eastAsia="楷体_GB2312"/>
          <w:color w:val="auto"/>
          <w:sz w:val="30"/>
          <w:szCs w:val="30"/>
        </w:rPr>
        <w:t>（五）因全球性经济危机、国际贸易摩擦、国家政策重大改变等因素导致乙方所处的行业领域发展形势严重恶化，进而导致乙方经营生产活动出现严重困难，并直接造成乙方违约的，乙方可向甲方书面提出申请免除全部或者部分违约责任，并向甲方提供相应的材料。甲方在收到乙方的申请后，可结合乙方在坪山区的综合贡献并报请区政府审定，经区政府审定同意后，甲方可以免除乙方部分或者全部违约责任，但法律另有规定的除外。</w:t>
      </w:r>
    </w:p>
    <w:p>
      <w:pPr>
        <w:spacing w:line="560" w:lineRule="exact"/>
        <w:ind w:firstLine="645"/>
        <w:jc w:val="left"/>
        <w:rPr>
          <w:rStyle w:val="11"/>
          <w:rFonts w:ascii="楷体_GB2312" w:hAnsi="宋体" w:eastAsia="楷体_GB2312"/>
          <w:color w:val="auto"/>
          <w:sz w:val="30"/>
          <w:szCs w:val="30"/>
        </w:rPr>
      </w:pPr>
    </w:p>
    <w:p>
      <w:pPr>
        <w:spacing w:line="560" w:lineRule="exact"/>
        <w:ind w:firstLine="570"/>
        <w:rPr>
          <w:rStyle w:val="11"/>
          <w:rFonts w:ascii="楷体_GB2312" w:hAnsi="宋体" w:eastAsia="楷体_GB2312"/>
          <w:b/>
          <w:bCs/>
          <w:color w:val="auto"/>
          <w:sz w:val="30"/>
          <w:szCs w:val="30"/>
        </w:rPr>
      </w:pPr>
      <w:r>
        <w:rPr>
          <w:rStyle w:val="11"/>
          <w:rFonts w:ascii="楷体_GB2312" w:hAnsi="宋体" w:eastAsia="楷体_GB2312"/>
          <w:b/>
          <w:bCs/>
          <w:color w:val="auto"/>
          <w:sz w:val="30"/>
          <w:szCs w:val="30"/>
        </w:rPr>
        <w:t>八、争议解决方式</w:t>
      </w:r>
    </w:p>
    <w:p>
      <w:pPr>
        <w:spacing w:line="560" w:lineRule="exact"/>
        <w:ind w:firstLine="570"/>
        <w:rPr>
          <w:rStyle w:val="11"/>
          <w:rFonts w:ascii="楷体_GB2312" w:hAnsi="宋体" w:eastAsia="楷体_GB2312"/>
          <w:color w:val="auto"/>
          <w:sz w:val="30"/>
          <w:szCs w:val="30"/>
        </w:rPr>
      </w:pPr>
      <w:r>
        <w:rPr>
          <w:rStyle w:val="11"/>
          <w:rFonts w:ascii="楷体_GB2312" w:hAnsi="宋体" w:eastAsia="楷体_GB2312"/>
          <w:color w:val="auto"/>
          <w:sz w:val="30"/>
          <w:szCs w:val="30"/>
        </w:rPr>
        <w:t>凡因本协议书引起的任何争议，由双方协商解决。协商不成的，各方一致同意向甲方所在地人民法院起诉。</w:t>
      </w:r>
    </w:p>
    <w:p>
      <w:pPr>
        <w:spacing w:line="560" w:lineRule="exact"/>
        <w:rPr>
          <w:rStyle w:val="11"/>
          <w:rFonts w:ascii="楷体_GB2312" w:hAnsi="宋体" w:eastAsia="楷体_GB2312"/>
          <w:color w:val="auto"/>
          <w:sz w:val="30"/>
          <w:szCs w:val="30"/>
        </w:rPr>
      </w:pPr>
    </w:p>
    <w:p>
      <w:pPr>
        <w:pStyle w:val="13"/>
        <w:spacing w:line="560" w:lineRule="exact"/>
        <w:ind w:right="-34" w:rightChars="-16"/>
        <w:rPr>
          <w:rStyle w:val="11"/>
          <w:rFonts w:ascii="楷体_GB2312" w:eastAsia="楷体_GB2312"/>
          <w:b/>
          <w:color w:val="auto"/>
          <w:sz w:val="30"/>
          <w:szCs w:val="30"/>
        </w:rPr>
      </w:pPr>
      <w:r>
        <w:rPr>
          <w:rStyle w:val="11"/>
          <w:rFonts w:ascii="楷体_GB2312" w:eastAsia="楷体_GB2312"/>
          <w:b/>
          <w:bCs/>
          <w:color w:val="auto"/>
          <w:sz w:val="30"/>
          <w:szCs w:val="30"/>
        </w:rPr>
        <w:t>九、其他</w:t>
      </w:r>
    </w:p>
    <w:p>
      <w:pPr>
        <w:spacing w:line="560" w:lineRule="exact"/>
        <w:ind w:firstLine="600"/>
        <w:rPr>
          <w:rStyle w:val="11"/>
          <w:rFonts w:ascii="楷体_GB2312" w:hAnsi="宋体" w:eastAsia="楷体_GB2312"/>
          <w:color w:val="auto"/>
          <w:sz w:val="30"/>
          <w:szCs w:val="30"/>
        </w:rPr>
      </w:pPr>
      <w:r>
        <w:rPr>
          <w:rStyle w:val="11"/>
          <w:rFonts w:ascii="楷体_GB2312" w:hAnsi="宋体" w:eastAsia="楷体_GB2312"/>
          <w:color w:val="auto"/>
          <w:sz w:val="30"/>
          <w:szCs w:val="30"/>
        </w:rPr>
        <w:t>（一）本协议中乙方应达到的产值规模（营业收入）和税收贡献，履约核查时的统计口径以乙方（含乙方分支机构）及其控股50%以上在坪山区注册的一级、二级子公司和乙方的实际控制人控股50%（含）以上在坪山注册的一级、二级子公司作为统计核算口径。各年度股权关系以当年12月31日股权登记状况为准。</w:t>
      </w:r>
    </w:p>
    <w:p>
      <w:pPr>
        <w:spacing w:line="560" w:lineRule="exact"/>
        <w:ind w:firstLine="600"/>
        <w:rPr>
          <w:rStyle w:val="11"/>
          <w:rFonts w:ascii="楷体_GB2312" w:hAnsi="宋体" w:eastAsia="楷体_GB2312"/>
          <w:color w:val="auto"/>
          <w:sz w:val="30"/>
          <w:szCs w:val="30"/>
        </w:rPr>
      </w:pPr>
      <w:r>
        <w:rPr>
          <w:rStyle w:val="11"/>
          <w:rFonts w:ascii="楷体_GB2312" w:hAnsi="宋体" w:eastAsia="楷体_GB2312"/>
          <w:color w:val="auto"/>
          <w:sz w:val="30"/>
          <w:szCs w:val="30"/>
        </w:rPr>
        <w:t>（备注：子公司已有其他产业发展监管协议或合同约定相关产值规模（营业收入）和税收贡献的，该部分产值规模（营业收入）和税收不得重复计入乙方的统计范围）</w:t>
      </w:r>
    </w:p>
    <w:p>
      <w:pPr>
        <w:spacing w:line="560" w:lineRule="exact"/>
        <w:ind w:firstLine="600"/>
        <w:rPr>
          <w:rStyle w:val="11"/>
          <w:rFonts w:ascii="楷体_GB2312" w:hAnsi="宋体" w:eastAsia="楷体_GB2312"/>
          <w:color w:val="auto"/>
          <w:sz w:val="30"/>
          <w:szCs w:val="30"/>
        </w:rPr>
      </w:pPr>
      <w:r>
        <w:rPr>
          <w:rStyle w:val="11"/>
          <w:rFonts w:ascii="楷体_GB2312" w:hAnsi="宋体" w:eastAsia="楷体_GB2312"/>
          <w:color w:val="auto"/>
          <w:sz w:val="30"/>
          <w:szCs w:val="30"/>
        </w:rPr>
        <w:t>（二）非特别注明的情况下，本协议条款货币种类均为人民币。</w:t>
      </w:r>
    </w:p>
    <w:p>
      <w:pPr>
        <w:spacing w:line="560" w:lineRule="exact"/>
        <w:ind w:firstLine="600"/>
        <w:rPr>
          <w:rStyle w:val="11"/>
          <w:rFonts w:ascii="楷体_GB2312" w:hAnsi="宋体" w:eastAsia="楷体_GB2312"/>
          <w:color w:val="auto"/>
          <w:sz w:val="30"/>
          <w:szCs w:val="30"/>
        </w:rPr>
      </w:pPr>
      <w:r>
        <w:rPr>
          <w:rStyle w:val="11"/>
          <w:rFonts w:ascii="楷体_GB2312" w:hAnsi="宋体" w:eastAsia="楷体_GB2312"/>
          <w:color w:val="auto"/>
          <w:sz w:val="30"/>
          <w:szCs w:val="30"/>
        </w:rPr>
        <w:t>（三）企业年度税收贡献以税务机关出具的“纳税证明”为准，包括企业所得税、增值税、城市维护建设税、印花税、地方教育附加、教育费附加、房产税、城镇土地使用税、文化事业建设费、个人所得税等自缴税费和代扣（收）代缴税费。</w:t>
      </w:r>
    </w:p>
    <w:p>
      <w:pPr>
        <w:spacing w:line="560" w:lineRule="exact"/>
        <w:ind w:firstLine="600"/>
        <w:rPr>
          <w:rStyle w:val="11"/>
          <w:rFonts w:ascii="楷体_GB2312" w:hAnsi="宋体" w:eastAsia="楷体_GB2312"/>
          <w:color w:val="auto"/>
          <w:sz w:val="30"/>
          <w:szCs w:val="30"/>
        </w:rPr>
      </w:pPr>
      <w:r>
        <w:rPr>
          <w:rStyle w:val="11"/>
          <w:rFonts w:ascii="楷体_GB2312" w:hAnsi="宋体" w:eastAsia="楷体_GB2312"/>
          <w:color w:val="auto"/>
          <w:sz w:val="30"/>
          <w:szCs w:val="30"/>
        </w:rPr>
        <w:t>（四）履约核查时项目固定资产投资以经审计的财务报表为准。</w:t>
      </w:r>
    </w:p>
    <w:p>
      <w:pPr>
        <w:spacing w:line="560" w:lineRule="exact"/>
        <w:ind w:firstLine="600"/>
        <w:rPr>
          <w:rStyle w:val="11"/>
          <w:rFonts w:ascii="楷体_GB2312" w:hAnsi="宋体" w:eastAsia="楷体_GB2312"/>
          <w:color w:val="auto"/>
          <w:sz w:val="30"/>
          <w:szCs w:val="30"/>
        </w:rPr>
      </w:pPr>
      <w:r>
        <w:rPr>
          <w:rStyle w:val="11"/>
          <w:rFonts w:ascii="楷体_GB2312" w:hAnsi="宋体" w:eastAsia="楷体_GB2312"/>
          <w:color w:val="auto"/>
          <w:sz w:val="30"/>
          <w:szCs w:val="30"/>
        </w:rPr>
        <w:t>（五）本协议中的土地出让人是指本宗地的《深圳市土地出让权出让合同书》中的甲方。</w:t>
      </w:r>
    </w:p>
    <w:p>
      <w:pPr>
        <w:spacing w:line="560" w:lineRule="exact"/>
        <w:ind w:firstLine="600"/>
        <w:rPr>
          <w:rStyle w:val="11"/>
          <w:rFonts w:ascii="楷体_GB2312" w:hAnsi="宋体" w:eastAsia="楷体_GB2312"/>
          <w:color w:val="auto"/>
          <w:sz w:val="30"/>
          <w:szCs w:val="30"/>
        </w:rPr>
      </w:pPr>
      <w:r>
        <w:rPr>
          <w:rStyle w:val="11"/>
          <w:rFonts w:ascii="楷体_GB2312" w:hAnsi="宋体" w:eastAsia="楷体_GB2312"/>
          <w:color w:val="auto"/>
          <w:sz w:val="30"/>
          <w:szCs w:val="30"/>
        </w:rPr>
        <w:t>（六）本协议所称的</w:t>
      </w:r>
      <w:r>
        <w:rPr>
          <w:rStyle w:val="11"/>
          <w:rFonts w:hint="eastAsia" w:ascii="楷体_GB2312" w:hAnsi="宋体" w:eastAsia="楷体_GB2312"/>
          <w:color w:val="auto"/>
          <w:sz w:val="30"/>
          <w:szCs w:val="30"/>
        </w:rPr>
        <w:t>乙方的</w:t>
      </w:r>
      <w:r>
        <w:rPr>
          <w:rStyle w:val="11"/>
          <w:rFonts w:ascii="楷体_GB2312" w:hAnsi="宋体" w:eastAsia="楷体_GB2312"/>
          <w:color w:val="auto"/>
          <w:sz w:val="30"/>
          <w:szCs w:val="30"/>
        </w:rPr>
        <w:t>主要股东出资比例、</w:t>
      </w:r>
      <w:r>
        <w:rPr>
          <w:rStyle w:val="11"/>
          <w:rFonts w:hint="eastAsia" w:ascii="楷体_GB2312" w:hAnsi="宋体" w:eastAsia="楷体_GB2312"/>
          <w:color w:val="auto"/>
          <w:sz w:val="30"/>
          <w:szCs w:val="30"/>
        </w:rPr>
        <w:t>乙方</w:t>
      </w:r>
      <w:r>
        <w:rPr>
          <w:rStyle w:val="11"/>
          <w:rFonts w:ascii="楷体_GB2312" w:hAnsi="宋体" w:eastAsia="楷体_GB2312"/>
          <w:color w:val="auto"/>
          <w:sz w:val="30"/>
          <w:szCs w:val="30"/>
        </w:rPr>
        <w:t>公司股权结构发生变动是指会导致</w:t>
      </w:r>
      <w:r>
        <w:rPr>
          <w:rStyle w:val="11"/>
          <w:rFonts w:hint="eastAsia" w:ascii="楷体_GB2312" w:hAnsi="宋体" w:eastAsia="楷体_GB2312"/>
          <w:color w:val="auto"/>
          <w:sz w:val="30"/>
          <w:szCs w:val="30"/>
        </w:rPr>
        <w:t>乙方</w:t>
      </w:r>
      <w:r>
        <w:rPr>
          <w:rStyle w:val="11"/>
          <w:rFonts w:ascii="楷体_GB2312" w:hAnsi="宋体" w:eastAsia="楷体_GB2312"/>
          <w:color w:val="auto"/>
          <w:sz w:val="30"/>
          <w:szCs w:val="30"/>
        </w:rPr>
        <w:t>控股权或</w:t>
      </w:r>
      <w:r>
        <w:rPr>
          <w:rStyle w:val="11"/>
          <w:rFonts w:hint="eastAsia" w:ascii="楷体_GB2312" w:hAnsi="宋体" w:eastAsia="楷体_GB2312"/>
          <w:color w:val="auto"/>
          <w:sz w:val="30"/>
          <w:szCs w:val="30"/>
        </w:rPr>
        <w:t>乙方</w:t>
      </w:r>
      <w:r>
        <w:rPr>
          <w:rStyle w:val="11"/>
          <w:rFonts w:ascii="楷体_GB2312" w:hAnsi="宋体" w:eastAsia="楷体_GB2312"/>
          <w:color w:val="auto"/>
          <w:sz w:val="30"/>
          <w:szCs w:val="30"/>
        </w:rPr>
        <w:t>实际控制权发生变更的股权转让。</w:t>
      </w:r>
    </w:p>
    <w:p>
      <w:pPr>
        <w:spacing w:line="560" w:lineRule="exact"/>
        <w:ind w:firstLine="600"/>
        <w:rPr>
          <w:rStyle w:val="11"/>
          <w:rFonts w:ascii="楷体_GB2312" w:hAnsi="宋体" w:eastAsia="楷体_GB2312"/>
          <w:color w:val="auto"/>
          <w:sz w:val="30"/>
          <w:szCs w:val="30"/>
        </w:rPr>
      </w:pPr>
      <w:r>
        <w:rPr>
          <w:rStyle w:val="11"/>
          <w:rFonts w:ascii="楷体_GB2312" w:hAnsi="宋体" w:eastAsia="楷体_GB2312"/>
          <w:color w:val="auto"/>
          <w:sz w:val="30"/>
          <w:szCs w:val="30"/>
        </w:rPr>
        <w:t>（七）本协议履行过程中，对协议中部分名词含义的理解存在不同意见的，以甲方的解释为准。</w:t>
      </w:r>
    </w:p>
    <w:p>
      <w:pPr>
        <w:spacing w:line="560" w:lineRule="exact"/>
        <w:ind w:firstLine="600"/>
        <w:rPr>
          <w:rStyle w:val="11"/>
          <w:rFonts w:ascii="楷体_GB2312" w:hAnsi="宋体" w:eastAsia="楷体_GB2312"/>
          <w:color w:val="auto"/>
          <w:sz w:val="30"/>
          <w:szCs w:val="30"/>
        </w:rPr>
      </w:pPr>
    </w:p>
    <w:p>
      <w:pPr>
        <w:pStyle w:val="13"/>
        <w:spacing w:line="560" w:lineRule="exact"/>
        <w:ind w:right="-34" w:rightChars="-16"/>
        <w:rPr>
          <w:rStyle w:val="11"/>
          <w:rFonts w:ascii="楷体_GB2312" w:eastAsia="楷体_GB2312"/>
          <w:b/>
          <w:color w:val="auto"/>
          <w:sz w:val="30"/>
          <w:szCs w:val="30"/>
        </w:rPr>
      </w:pPr>
      <w:r>
        <w:rPr>
          <w:rStyle w:val="11"/>
          <w:rFonts w:ascii="楷体_GB2312" w:eastAsia="楷体_GB2312"/>
          <w:b/>
          <w:bCs/>
          <w:color w:val="auto"/>
          <w:sz w:val="30"/>
          <w:szCs w:val="30"/>
        </w:rPr>
        <w:t>十、合同效力</w:t>
      </w:r>
    </w:p>
    <w:p>
      <w:pPr>
        <w:pStyle w:val="13"/>
        <w:spacing w:line="560" w:lineRule="exact"/>
        <w:rPr>
          <w:rStyle w:val="11"/>
          <w:rFonts w:ascii="楷体_GB2312" w:eastAsia="楷体_GB2312"/>
          <w:color w:val="auto"/>
          <w:sz w:val="30"/>
          <w:szCs w:val="30"/>
        </w:rPr>
      </w:pPr>
      <w:r>
        <w:rPr>
          <w:rStyle w:val="11"/>
          <w:rFonts w:ascii="楷体_GB2312" w:eastAsia="楷体_GB2312"/>
          <w:color w:val="auto"/>
          <w:sz w:val="30"/>
          <w:szCs w:val="30"/>
        </w:rPr>
        <w:t>本协议书一式八份，具有同等法律效力，甲乙双方各执一份，其余六份作为该宗建设用地土地使用权出让合同的附件。</w:t>
      </w:r>
    </w:p>
    <w:p>
      <w:pPr>
        <w:pStyle w:val="13"/>
        <w:spacing w:line="560" w:lineRule="exact"/>
        <w:rPr>
          <w:rStyle w:val="11"/>
          <w:rFonts w:ascii="楷体_GB2312" w:eastAsia="楷体_GB2312"/>
          <w:color w:val="auto"/>
          <w:sz w:val="30"/>
          <w:szCs w:val="30"/>
        </w:rPr>
      </w:pPr>
      <w:r>
        <w:rPr>
          <w:rStyle w:val="11"/>
          <w:rFonts w:ascii="楷体_GB2312" w:eastAsia="楷体_GB2312"/>
          <w:color w:val="auto"/>
          <w:sz w:val="30"/>
          <w:szCs w:val="30"/>
        </w:rPr>
        <w:t>本协议书自甲乙双方法定代表人或委托代理人签字并加盖公章之日起生效。</w:t>
      </w:r>
    </w:p>
    <w:p>
      <w:pPr>
        <w:pStyle w:val="13"/>
        <w:spacing w:line="560" w:lineRule="exact"/>
        <w:ind w:right="-34" w:rightChars="-16"/>
        <w:rPr>
          <w:rStyle w:val="11"/>
          <w:rFonts w:ascii="楷体_GB2312" w:eastAsia="楷体_GB2312"/>
          <w:color w:val="auto"/>
          <w:sz w:val="30"/>
          <w:szCs w:val="30"/>
        </w:rPr>
      </w:pPr>
      <w:r>
        <w:rPr>
          <w:rStyle w:val="11"/>
          <w:rFonts w:ascii="楷体_GB2312" w:eastAsia="楷体_GB2312"/>
          <w:color w:val="auto"/>
          <w:sz w:val="30"/>
          <w:szCs w:val="30"/>
        </w:rPr>
        <w:t>本协议书未尽事宜，经甲乙双方协商一致，可另行签订补充协议，补充协议与本协议书具有同等法律效力。</w:t>
      </w:r>
    </w:p>
    <w:p>
      <w:pPr>
        <w:pStyle w:val="13"/>
        <w:spacing w:line="560" w:lineRule="exact"/>
        <w:ind w:right="-34" w:rightChars="-16"/>
        <w:rPr>
          <w:rStyle w:val="11"/>
          <w:rFonts w:ascii="楷体_GB2312" w:eastAsia="楷体_GB2312"/>
          <w:color w:val="auto"/>
          <w:sz w:val="30"/>
          <w:szCs w:val="30"/>
        </w:rPr>
      </w:pPr>
    </w:p>
    <w:p>
      <w:pPr>
        <w:spacing w:line="560" w:lineRule="exact"/>
        <w:ind w:firstLine="600" w:firstLineChars="200"/>
        <w:rPr>
          <w:rStyle w:val="11"/>
          <w:rFonts w:ascii="楷体_GB2312" w:hAnsi="宋体" w:eastAsia="楷体_GB2312"/>
          <w:bCs/>
          <w:color w:val="auto"/>
          <w:sz w:val="30"/>
          <w:szCs w:val="30"/>
        </w:rPr>
      </w:pPr>
      <w:r>
        <w:rPr>
          <w:rStyle w:val="11"/>
          <w:rFonts w:ascii="楷体_GB2312" w:hAnsi="宋体" w:eastAsia="楷体_GB2312"/>
          <w:bCs/>
          <w:color w:val="auto"/>
          <w:sz w:val="30"/>
          <w:szCs w:val="30"/>
        </w:rPr>
        <w:t>（以下无正文）</w:t>
      </w:r>
    </w:p>
    <w:p>
      <w:pPr>
        <w:spacing w:line="560" w:lineRule="exact"/>
        <w:ind w:firstLine="600" w:firstLineChars="200"/>
        <w:rPr>
          <w:rStyle w:val="11"/>
          <w:rFonts w:ascii="楷体_GB2312" w:hAnsi="宋体" w:eastAsia="楷体_GB2312"/>
          <w:bCs/>
          <w:color w:val="auto"/>
          <w:sz w:val="30"/>
          <w:szCs w:val="30"/>
        </w:rPr>
      </w:pPr>
      <w:r>
        <w:rPr>
          <w:rStyle w:val="11"/>
          <w:rFonts w:ascii="楷体_GB2312" w:hAnsi="宋体" w:eastAsia="楷体_GB2312"/>
          <w:bCs/>
          <w:color w:val="auto"/>
          <w:sz w:val="30"/>
          <w:szCs w:val="30"/>
        </w:rPr>
        <w:br w:type="page"/>
      </w:r>
    </w:p>
    <w:p>
      <w:pPr>
        <w:spacing w:line="560" w:lineRule="exact"/>
        <w:ind w:firstLine="600" w:firstLineChars="200"/>
        <w:rPr>
          <w:rStyle w:val="11"/>
          <w:rFonts w:ascii="楷体_GB2312" w:hAnsi="宋体" w:eastAsia="楷体_GB2312"/>
          <w:bCs/>
          <w:color w:val="auto"/>
          <w:sz w:val="30"/>
          <w:szCs w:val="30"/>
        </w:rPr>
      </w:pPr>
    </w:p>
    <w:p>
      <w:pPr>
        <w:spacing w:line="560" w:lineRule="exact"/>
        <w:rPr>
          <w:rStyle w:val="11"/>
          <w:rFonts w:ascii="楷体_GB2312" w:hAnsi="宋体" w:eastAsia="楷体_GB2312"/>
          <w:bCs/>
          <w:color w:val="auto"/>
          <w:sz w:val="30"/>
          <w:szCs w:val="30"/>
        </w:rPr>
      </w:pPr>
      <w:r>
        <w:rPr>
          <w:rStyle w:val="11"/>
          <w:rFonts w:ascii="楷体_GB2312" w:hAnsi="宋体" w:eastAsia="楷体_GB2312"/>
          <w:bCs/>
          <w:color w:val="auto"/>
          <w:sz w:val="30"/>
          <w:szCs w:val="30"/>
        </w:rPr>
        <w:t>（本页为签署页）</w:t>
      </w:r>
    </w:p>
    <w:p>
      <w:pPr>
        <w:spacing w:line="560" w:lineRule="exact"/>
        <w:ind w:left="904" w:hanging="904" w:hangingChars="300"/>
        <w:rPr>
          <w:rStyle w:val="11"/>
          <w:rFonts w:ascii="楷体_GB2312" w:hAnsi="宋体" w:eastAsia="楷体_GB2312"/>
          <w:b/>
          <w:color w:val="auto"/>
          <w:sz w:val="30"/>
          <w:szCs w:val="30"/>
        </w:rPr>
      </w:pPr>
    </w:p>
    <w:p>
      <w:pPr>
        <w:spacing w:line="560" w:lineRule="exact"/>
        <w:ind w:left="904" w:hanging="904" w:hangingChars="300"/>
        <w:rPr>
          <w:rStyle w:val="11"/>
          <w:rFonts w:ascii="楷体_GB2312" w:hAnsi="宋体" w:eastAsia="楷体_GB2312"/>
          <w:b/>
          <w:color w:val="auto"/>
          <w:sz w:val="30"/>
          <w:szCs w:val="30"/>
        </w:rPr>
      </w:pPr>
    </w:p>
    <w:p>
      <w:pPr>
        <w:spacing w:line="560" w:lineRule="exact"/>
        <w:ind w:left="904" w:hanging="904" w:hangingChars="300"/>
        <w:rPr>
          <w:rStyle w:val="11"/>
          <w:rFonts w:ascii="楷体_GB2312" w:hAnsi="宋体" w:eastAsia="楷体_GB2312"/>
          <w:b/>
          <w:color w:val="auto"/>
          <w:sz w:val="30"/>
          <w:szCs w:val="30"/>
        </w:rPr>
      </w:pPr>
    </w:p>
    <w:p>
      <w:pPr>
        <w:spacing w:line="560" w:lineRule="exact"/>
        <w:ind w:left="904" w:hanging="904" w:hangingChars="300"/>
        <w:rPr>
          <w:rStyle w:val="11"/>
          <w:rFonts w:ascii="楷体_GB2312" w:hAnsi="宋体" w:eastAsia="楷体_GB2312"/>
          <w:b/>
          <w:color w:val="auto"/>
          <w:sz w:val="30"/>
          <w:szCs w:val="30"/>
        </w:rPr>
      </w:pPr>
      <w:r>
        <w:rPr>
          <w:rStyle w:val="11"/>
          <w:rFonts w:ascii="楷体_GB2312" w:hAnsi="宋体" w:eastAsia="楷体_GB2312"/>
          <w:b/>
          <w:color w:val="auto"/>
          <w:sz w:val="30"/>
          <w:szCs w:val="30"/>
        </w:rPr>
        <w:t xml:space="preserve">甲方（盖章）： </w:t>
      </w:r>
    </w:p>
    <w:p>
      <w:pPr>
        <w:spacing w:line="560" w:lineRule="exact"/>
        <w:rPr>
          <w:rStyle w:val="11"/>
          <w:rFonts w:ascii="楷体_GB2312" w:hAnsi="宋体" w:eastAsia="楷体_GB2312"/>
          <w:b/>
          <w:color w:val="auto"/>
          <w:sz w:val="30"/>
          <w:szCs w:val="30"/>
        </w:rPr>
      </w:pPr>
      <w:r>
        <w:rPr>
          <w:rStyle w:val="11"/>
          <w:rFonts w:ascii="楷体_GB2312" w:hAnsi="宋体" w:eastAsia="楷体_GB2312"/>
          <w:b/>
          <w:color w:val="auto"/>
          <w:sz w:val="30"/>
          <w:szCs w:val="30"/>
        </w:rPr>
        <w:t>法定代表人：</w:t>
      </w:r>
      <w:r>
        <w:rPr>
          <w:rStyle w:val="11"/>
          <w:rFonts w:ascii="楷体_GB2312" w:hAnsi="宋体" w:eastAsia="楷体_GB2312"/>
          <w:b/>
          <w:color w:val="auto"/>
          <w:sz w:val="30"/>
          <w:szCs w:val="30"/>
          <w:u w:val="single"/>
        </w:rPr>
        <w:t xml:space="preserve">                        </w:t>
      </w:r>
    </w:p>
    <w:p>
      <w:pPr>
        <w:spacing w:line="560" w:lineRule="exact"/>
        <w:rPr>
          <w:rStyle w:val="11"/>
          <w:rFonts w:ascii="楷体_GB2312" w:hAnsi="宋体" w:eastAsia="楷体_GB2312"/>
          <w:b/>
          <w:color w:val="auto"/>
          <w:sz w:val="30"/>
          <w:szCs w:val="30"/>
        </w:rPr>
      </w:pPr>
    </w:p>
    <w:p>
      <w:pPr>
        <w:spacing w:line="560" w:lineRule="exact"/>
        <w:rPr>
          <w:rStyle w:val="11"/>
          <w:rFonts w:ascii="楷体_GB2312" w:hAnsi="宋体" w:eastAsia="楷体_GB2312"/>
          <w:b/>
          <w:color w:val="auto"/>
          <w:sz w:val="30"/>
          <w:szCs w:val="30"/>
        </w:rPr>
      </w:pPr>
      <w:r>
        <w:rPr>
          <w:rStyle w:val="11"/>
          <w:rFonts w:ascii="楷体_GB2312" w:hAnsi="宋体" w:eastAsia="楷体_GB2312"/>
          <w:b/>
          <w:color w:val="auto"/>
          <w:sz w:val="30"/>
          <w:szCs w:val="30"/>
        </w:rPr>
        <w:t>委托代理人：</w:t>
      </w:r>
      <w:r>
        <w:rPr>
          <w:rStyle w:val="11"/>
          <w:rFonts w:ascii="楷体_GB2312" w:hAnsi="宋体" w:eastAsia="楷体_GB2312"/>
          <w:b/>
          <w:color w:val="auto"/>
          <w:sz w:val="30"/>
          <w:szCs w:val="30"/>
          <w:u w:val="single"/>
        </w:rPr>
        <w:t xml:space="preserve">                        </w:t>
      </w:r>
    </w:p>
    <w:p>
      <w:pPr>
        <w:spacing w:line="560" w:lineRule="exact"/>
        <w:rPr>
          <w:rStyle w:val="11"/>
          <w:rFonts w:ascii="楷体_GB2312" w:hAnsi="宋体" w:eastAsia="楷体_GB2312"/>
          <w:color w:val="auto"/>
          <w:sz w:val="30"/>
          <w:szCs w:val="30"/>
        </w:rPr>
      </w:pPr>
    </w:p>
    <w:p>
      <w:pPr>
        <w:spacing w:line="560" w:lineRule="exact"/>
        <w:rPr>
          <w:rStyle w:val="11"/>
          <w:rFonts w:ascii="楷体_GB2312" w:hAnsi="宋体" w:eastAsia="楷体_GB2312"/>
          <w:color w:val="auto"/>
          <w:sz w:val="30"/>
          <w:szCs w:val="30"/>
        </w:rPr>
      </w:pPr>
    </w:p>
    <w:p>
      <w:pPr>
        <w:spacing w:line="560" w:lineRule="exact"/>
        <w:ind w:left="602" w:hanging="602" w:hangingChars="200"/>
        <w:rPr>
          <w:rStyle w:val="11"/>
          <w:rFonts w:ascii="楷体_GB2312" w:hAnsi="宋体" w:eastAsia="楷体_GB2312"/>
          <w:b/>
          <w:color w:val="auto"/>
          <w:sz w:val="30"/>
          <w:szCs w:val="30"/>
        </w:rPr>
      </w:pPr>
      <w:r>
        <w:rPr>
          <w:rStyle w:val="11"/>
          <w:rFonts w:ascii="楷体_GB2312" w:hAnsi="宋体" w:eastAsia="楷体_GB2312"/>
          <w:b/>
          <w:color w:val="auto"/>
          <w:sz w:val="30"/>
          <w:szCs w:val="30"/>
        </w:rPr>
        <w:t>乙方（盖章）：</w:t>
      </w:r>
    </w:p>
    <w:p>
      <w:pPr>
        <w:spacing w:line="560" w:lineRule="exact"/>
        <w:rPr>
          <w:rStyle w:val="11"/>
          <w:rFonts w:ascii="楷体_GB2312" w:hAnsi="宋体" w:eastAsia="楷体_GB2312"/>
          <w:b/>
          <w:color w:val="auto"/>
          <w:sz w:val="30"/>
          <w:szCs w:val="30"/>
        </w:rPr>
      </w:pPr>
      <w:r>
        <w:rPr>
          <w:rStyle w:val="11"/>
          <w:rFonts w:ascii="楷体_GB2312" w:hAnsi="宋体" w:eastAsia="楷体_GB2312"/>
          <w:b/>
          <w:color w:val="auto"/>
          <w:sz w:val="30"/>
          <w:szCs w:val="30"/>
        </w:rPr>
        <w:t>法定代表人：</w:t>
      </w:r>
      <w:r>
        <w:rPr>
          <w:rStyle w:val="11"/>
          <w:rFonts w:ascii="楷体_GB2312" w:hAnsi="宋体" w:eastAsia="楷体_GB2312"/>
          <w:b/>
          <w:color w:val="auto"/>
          <w:sz w:val="30"/>
          <w:szCs w:val="30"/>
          <w:u w:val="single"/>
        </w:rPr>
        <w:t xml:space="preserve">                        </w:t>
      </w:r>
    </w:p>
    <w:p>
      <w:pPr>
        <w:spacing w:line="560" w:lineRule="exact"/>
        <w:rPr>
          <w:rStyle w:val="11"/>
          <w:rFonts w:ascii="楷体_GB2312" w:hAnsi="宋体" w:eastAsia="楷体_GB2312"/>
          <w:b/>
          <w:color w:val="auto"/>
          <w:sz w:val="30"/>
          <w:szCs w:val="30"/>
        </w:rPr>
      </w:pPr>
    </w:p>
    <w:p>
      <w:pPr>
        <w:spacing w:line="560" w:lineRule="exact"/>
        <w:rPr>
          <w:rStyle w:val="11"/>
          <w:rFonts w:ascii="楷体_GB2312" w:hAnsi="宋体" w:eastAsia="楷体_GB2312"/>
          <w:b/>
          <w:color w:val="auto"/>
          <w:sz w:val="30"/>
          <w:szCs w:val="30"/>
        </w:rPr>
      </w:pPr>
      <w:r>
        <w:rPr>
          <w:rStyle w:val="11"/>
          <w:rFonts w:ascii="楷体_GB2312" w:hAnsi="宋体" w:eastAsia="楷体_GB2312"/>
          <w:b/>
          <w:color w:val="auto"/>
          <w:sz w:val="30"/>
          <w:szCs w:val="30"/>
        </w:rPr>
        <w:t>委托代理人：</w:t>
      </w:r>
      <w:r>
        <w:rPr>
          <w:rStyle w:val="11"/>
          <w:rFonts w:ascii="楷体_GB2312" w:hAnsi="宋体" w:eastAsia="楷体_GB2312"/>
          <w:b/>
          <w:color w:val="auto"/>
          <w:sz w:val="30"/>
          <w:szCs w:val="30"/>
          <w:u w:val="single"/>
        </w:rPr>
        <w:t xml:space="preserve">                        </w:t>
      </w:r>
    </w:p>
    <w:p>
      <w:pPr>
        <w:spacing w:line="560" w:lineRule="exact"/>
        <w:rPr>
          <w:rStyle w:val="11"/>
          <w:rFonts w:ascii="楷体_GB2312" w:hAnsi="宋体" w:eastAsia="楷体_GB2312"/>
          <w:b/>
          <w:color w:val="auto"/>
          <w:sz w:val="30"/>
          <w:szCs w:val="30"/>
        </w:rPr>
      </w:pPr>
    </w:p>
    <w:p>
      <w:pPr>
        <w:spacing w:line="560" w:lineRule="exact"/>
        <w:rPr>
          <w:rStyle w:val="11"/>
          <w:rFonts w:ascii="楷体_GB2312" w:hAnsi="宋体" w:eastAsia="楷体_GB2312"/>
          <w:b/>
          <w:color w:val="auto"/>
          <w:sz w:val="30"/>
          <w:szCs w:val="30"/>
        </w:rPr>
      </w:pPr>
    </w:p>
    <w:p>
      <w:pPr>
        <w:spacing w:line="560" w:lineRule="exact"/>
        <w:jc w:val="right"/>
        <w:rPr>
          <w:rStyle w:val="11"/>
          <w:rFonts w:ascii="楷体_GB2312" w:hAnsi="宋体" w:eastAsia="楷体_GB2312"/>
          <w:b/>
          <w:color w:val="auto"/>
          <w:sz w:val="30"/>
          <w:szCs w:val="30"/>
        </w:rPr>
      </w:pPr>
      <w:r>
        <w:rPr>
          <w:rStyle w:val="11"/>
          <w:rFonts w:hint="eastAsia" w:ascii="楷体_GB2312" w:hAnsi="宋体" w:eastAsia="楷体_GB2312"/>
          <w:b/>
          <w:color w:val="auto"/>
          <w:sz w:val="30"/>
          <w:szCs w:val="30"/>
          <w:lang w:val="en-US" w:eastAsia="zh-CN"/>
        </w:rPr>
        <w:t xml:space="preserve">  </w:t>
      </w:r>
      <w:r>
        <w:rPr>
          <w:rStyle w:val="11"/>
          <w:rFonts w:ascii="楷体_GB2312" w:hAnsi="宋体" w:eastAsia="楷体_GB2312"/>
          <w:b/>
          <w:color w:val="auto"/>
          <w:sz w:val="30"/>
          <w:szCs w:val="30"/>
        </w:rPr>
        <w:t>签订日期：</w:t>
      </w:r>
      <w:r>
        <w:rPr>
          <w:rStyle w:val="11"/>
          <w:rFonts w:ascii="楷体_GB2312" w:hAnsi="宋体" w:eastAsia="楷体_GB2312"/>
          <w:b/>
          <w:color w:val="auto"/>
          <w:sz w:val="30"/>
          <w:szCs w:val="30"/>
          <w:u w:val="single"/>
        </w:rPr>
        <w:t xml:space="preserve">     </w:t>
      </w:r>
      <w:r>
        <w:rPr>
          <w:rStyle w:val="11"/>
          <w:rFonts w:ascii="楷体_GB2312" w:hAnsi="宋体" w:eastAsia="楷体_GB2312"/>
          <w:b/>
          <w:color w:val="auto"/>
          <w:sz w:val="30"/>
          <w:szCs w:val="30"/>
        </w:rPr>
        <w:t>年</w:t>
      </w:r>
      <w:r>
        <w:rPr>
          <w:rStyle w:val="11"/>
          <w:rFonts w:ascii="楷体_GB2312" w:hAnsi="宋体" w:eastAsia="楷体_GB2312"/>
          <w:b/>
          <w:color w:val="auto"/>
          <w:sz w:val="30"/>
          <w:szCs w:val="30"/>
          <w:u w:val="single"/>
        </w:rPr>
        <w:t xml:space="preserve">  　</w:t>
      </w:r>
      <w:r>
        <w:rPr>
          <w:rStyle w:val="11"/>
          <w:rFonts w:ascii="楷体_GB2312" w:hAnsi="宋体" w:eastAsia="楷体_GB2312"/>
          <w:b/>
          <w:color w:val="auto"/>
          <w:sz w:val="30"/>
          <w:szCs w:val="30"/>
        </w:rPr>
        <w:t>月</w:t>
      </w:r>
      <w:r>
        <w:rPr>
          <w:rStyle w:val="11"/>
          <w:rFonts w:ascii="楷体_GB2312" w:hAnsi="宋体" w:eastAsia="楷体_GB2312"/>
          <w:b/>
          <w:color w:val="auto"/>
          <w:sz w:val="30"/>
          <w:szCs w:val="30"/>
          <w:u w:val="single"/>
        </w:rPr>
        <w:t xml:space="preserve">   </w:t>
      </w:r>
      <w:r>
        <w:rPr>
          <w:rStyle w:val="11"/>
          <w:rFonts w:ascii="楷体_GB2312" w:hAnsi="宋体" w:eastAsia="楷体_GB2312"/>
          <w:b/>
          <w:color w:val="auto"/>
          <w:sz w:val="30"/>
          <w:szCs w:val="30"/>
        </w:rPr>
        <w:t>日</w:t>
      </w:r>
    </w:p>
    <w:p>
      <w:pPr>
        <w:spacing w:line="560" w:lineRule="exact"/>
        <w:ind w:right="560" w:firstLine="4819" w:firstLineChars="1600"/>
        <w:rPr>
          <w:rStyle w:val="11"/>
          <w:rFonts w:ascii="楷体_GB2312" w:hAnsi="宋体" w:eastAsia="楷体_GB2312"/>
          <w:b/>
          <w:color w:val="auto"/>
          <w:sz w:val="30"/>
          <w:szCs w:val="30"/>
          <w:u w:val="single"/>
        </w:rPr>
      </w:pPr>
      <w:r>
        <w:rPr>
          <w:rStyle w:val="11"/>
          <w:rFonts w:ascii="楷体_GB2312" w:hAnsi="宋体" w:eastAsia="楷体_GB2312"/>
          <w:b/>
          <w:color w:val="auto"/>
          <w:sz w:val="30"/>
          <w:szCs w:val="30"/>
        </w:rPr>
        <w:t>签订地点：</w:t>
      </w:r>
      <w:r>
        <w:rPr>
          <w:rStyle w:val="11"/>
          <w:rFonts w:ascii="楷体_GB2312" w:hAnsi="宋体" w:eastAsia="楷体_GB2312"/>
          <w:b/>
          <w:color w:val="auto"/>
          <w:sz w:val="30"/>
          <w:szCs w:val="30"/>
          <w:u w:val="single"/>
        </w:rPr>
        <w:t xml:space="preserve">             </w:t>
      </w:r>
    </w:p>
    <w:p>
      <w:pPr>
        <w:spacing w:line="560" w:lineRule="exact"/>
        <w:ind w:right="560" w:firstLine="4060"/>
        <w:rPr>
          <w:rStyle w:val="11"/>
          <w:rFonts w:ascii="楷体_GB2312" w:hAnsi="宋体" w:eastAsia="楷体_GB2312"/>
          <w:b/>
          <w:color w:val="auto"/>
          <w:sz w:val="30"/>
          <w:szCs w:val="30"/>
          <w:u w:val="single"/>
        </w:rPr>
      </w:pPr>
    </w:p>
    <w:p>
      <w:pPr>
        <w:spacing w:line="560" w:lineRule="exact"/>
        <w:ind w:right="560" w:firstLine="4060"/>
        <w:rPr>
          <w:rStyle w:val="11"/>
          <w:rFonts w:ascii="楷体_GB2312" w:hAnsi="宋体" w:eastAsia="楷体_GB2312"/>
          <w:b/>
          <w:color w:val="auto"/>
          <w:sz w:val="30"/>
          <w:szCs w:val="30"/>
        </w:rPr>
      </w:pPr>
    </w:p>
    <w:p>
      <w:pPr>
        <w:spacing w:line="560" w:lineRule="exact"/>
        <w:rPr>
          <w:rStyle w:val="11"/>
          <w:rFonts w:ascii="楷体_GB2312" w:hAnsi="宋体" w:eastAsia="楷体_GB2312"/>
          <w:color w:val="auto"/>
          <w:sz w:val="30"/>
          <w:szCs w:val="30"/>
        </w:rPr>
      </w:pPr>
      <w:r>
        <w:rPr>
          <w:rStyle w:val="11"/>
          <w:rFonts w:ascii="楷体_GB2312" w:hAnsi="宋体" w:eastAsia="楷体_GB2312"/>
          <w:color w:val="auto"/>
          <w:sz w:val="30"/>
          <w:szCs w:val="30"/>
        </w:rPr>
        <w:t>附件：乙方股东会决议</w:t>
      </w:r>
    </w:p>
    <w:p>
      <w:pPr>
        <w:rPr>
          <w:color w:val="auto"/>
        </w:rPr>
      </w:pPr>
    </w:p>
    <w:sectPr>
      <w:footerReference r:id="rId5" w:type="first"/>
      <w:footerReference r:id="rId3" w:type="default"/>
      <w:footerReference r:id="rId4" w:type="even"/>
      <w:pgSz w:w="11906" w:h="16838"/>
      <w:pgMar w:top="2098" w:right="1474" w:bottom="1984"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outside" w:y="1"/>
      <w:ind w:firstLine="0" w:firstLineChars="0"/>
      <w:rPr>
        <w:rStyle w:val="11"/>
        <w:rFonts w:ascii="宋体" w:hAnsi="宋体"/>
        <w:sz w:val="28"/>
        <w:szCs w:val="28"/>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p>
    <w:pPr>
      <w:pStyle w:val="4"/>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margin" w:hAnchor="text" w:xAlign="center" w:y="1"/>
      <w:rPr>
        <w:rStyle w:val="12"/>
      </w:rPr>
    </w:pPr>
  </w:p>
  <w:p>
    <w:pPr>
      <w:pStyle w:val="4"/>
      <w:rPr>
        <w:rStyle w:val="1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044B"/>
    <w:multiLevelType w:val="multilevel"/>
    <w:tmpl w:val="09EA044B"/>
    <w:lvl w:ilvl="0" w:tentative="0">
      <w:start w:val="2"/>
      <w:numFmt w:val="japaneseCounting"/>
      <w:lvlText w:val="%1、"/>
      <w:lvlJc w:val="left"/>
      <w:pPr>
        <w:widowControl/>
        <w:tabs>
          <w:tab w:val="left" w:pos="1342"/>
        </w:tabs>
        <w:ind w:left="1342" w:hanging="720"/>
        <w:textAlignment w:val="baseline"/>
      </w:pPr>
    </w:lvl>
    <w:lvl w:ilvl="1" w:tentative="0">
      <w:start w:val="1"/>
      <w:numFmt w:val="decimal"/>
      <w:lvlText w:val="%1."/>
      <w:lvlJc w:val="left"/>
      <w:pPr>
        <w:widowControl/>
        <w:tabs>
          <w:tab w:val="left" w:pos="1440"/>
        </w:tabs>
        <w:ind w:left="1440" w:hanging="360"/>
        <w:textAlignment w:val="baseline"/>
      </w:pPr>
    </w:lvl>
    <w:lvl w:ilvl="2" w:tentative="0">
      <w:start w:val="1"/>
      <w:numFmt w:val="decimal"/>
      <w:lvlText w:val="%1."/>
      <w:lvlJc w:val="left"/>
      <w:pPr>
        <w:widowControl/>
        <w:tabs>
          <w:tab w:val="left" w:pos="2160"/>
        </w:tabs>
        <w:ind w:left="2160" w:hanging="360"/>
        <w:textAlignment w:val="baseline"/>
      </w:pPr>
    </w:lvl>
    <w:lvl w:ilvl="3" w:tentative="0">
      <w:start w:val="1"/>
      <w:numFmt w:val="decimal"/>
      <w:lvlText w:val="%1."/>
      <w:lvlJc w:val="left"/>
      <w:pPr>
        <w:widowControl/>
        <w:tabs>
          <w:tab w:val="left" w:pos="2880"/>
        </w:tabs>
        <w:ind w:left="2880" w:hanging="360"/>
        <w:textAlignment w:val="baseline"/>
      </w:pPr>
    </w:lvl>
    <w:lvl w:ilvl="4" w:tentative="0">
      <w:start w:val="1"/>
      <w:numFmt w:val="decimal"/>
      <w:lvlText w:val="%1."/>
      <w:lvlJc w:val="left"/>
      <w:pPr>
        <w:widowControl/>
        <w:tabs>
          <w:tab w:val="left" w:pos="3600"/>
        </w:tabs>
        <w:ind w:left="3600" w:hanging="360"/>
        <w:textAlignment w:val="baseline"/>
      </w:pPr>
    </w:lvl>
    <w:lvl w:ilvl="5" w:tentative="0">
      <w:start w:val="1"/>
      <w:numFmt w:val="decimal"/>
      <w:lvlText w:val="%1."/>
      <w:lvlJc w:val="left"/>
      <w:pPr>
        <w:widowControl/>
        <w:tabs>
          <w:tab w:val="left" w:pos="4320"/>
        </w:tabs>
        <w:ind w:left="4320" w:hanging="360"/>
        <w:textAlignment w:val="baseline"/>
      </w:pPr>
    </w:lvl>
    <w:lvl w:ilvl="6" w:tentative="0">
      <w:start w:val="1"/>
      <w:numFmt w:val="decimal"/>
      <w:lvlText w:val="%1."/>
      <w:lvlJc w:val="left"/>
      <w:pPr>
        <w:widowControl/>
        <w:tabs>
          <w:tab w:val="left" w:pos="5040"/>
        </w:tabs>
        <w:ind w:left="5040" w:hanging="360"/>
        <w:textAlignment w:val="baseline"/>
      </w:pPr>
    </w:lvl>
    <w:lvl w:ilvl="7" w:tentative="0">
      <w:start w:val="1"/>
      <w:numFmt w:val="decimal"/>
      <w:lvlText w:val="%1."/>
      <w:lvlJc w:val="left"/>
      <w:pPr>
        <w:widowControl/>
        <w:tabs>
          <w:tab w:val="left" w:pos="5760"/>
        </w:tabs>
        <w:ind w:left="5760" w:hanging="360"/>
        <w:textAlignment w:val="baseline"/>
      </w:pPr>
    </w:lvl>
    <w:lvl w:ilvl="8" w:tentative="0">
      <w:start w:val="1"/>
      <w:numFmt w:val="decimal"/>
      <w:lvlText w:val="%1."/>
      <w:lvlJc w:val="left"/>
      <w:pPr>
        <w:widowControl/>
        <w:tabs>
          <w:tab w:val="left" w:pos="6480"/>
        </w:tabs>
        <w:ind w:left="6480" w:hanging="360"/>
        <w:textAlignment w:val="baseline"/>
      </w:pPr>
    </w:lvl>
  </w:abstractNum>
  <w:abstractNum w:abstractNumId="1">
    <w:nsid w:val="0F5B3F8B"/>
    <w:multiLevelType w:val="singleLevel"/>
    <w:tmpl w:val="0F5B3F8B"/>
    <w:lvl w:ilvl="0" w:tentative="0">
      <w:start w:val="1"/>
      <w:numFmt w:val="chineseCounting"/>
      <w:suff w:val="nothing"/>
      <w:lvlText w:val="（%1）"/>
      <w:lvlJc w:val="left"/>
      <w:pPr>
        <w:widowControl/>
        <w:textAlignment w:val="baseline"/>
      </w:pPr>
    </w:lvl>
  </w:abstractNum>
  <w:abstractNum w:abstractNumId="2">
    <w:nsid w:val="718A4C35"/>
    <w:multiLevelType w:val="singleLevel"/>
    <w:tmpl w:val="718A4C35"/>
    <w:lvl w:ilvl="0" w:tentative="0">
      <w:start w:val="6"/>
      <w:numFmt w:val="chineseCounting"/>
      <w:suff w:val="nothing"/>
      <w:lvlText w:val="%1、"/>
      <w:lvlJc w:val="left"/>
      <w:pPr>
        <w:widowControl/>
        <w:textAlignment w:val="baseline"/>
      </w:pPr>
    </w:lvl>
  </w:abstractNum>
  <w:num w:numId="1">
    <w:abstractNumId w:val="0"/>
    <w:lvlOverride w:ilvl="0">
      <w:startOverride w:val="2"/>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37C"/>
    <w:rsid w:val="00234FE6"/>
    <w:rsid w:val="004B55F3"/>
    <w:rsid w:val="008C637C"/>
    <w:rsid w:val="00B7593B"/>
    <w:rsid w:val="00D35E39"/>
    <w:rsid w:val="00DD329A"/>
    <w:rsid w:val="00E02838"/>
    <w:rsid w:val="00F56FCA"/>
    <w:rsid w:val="0241216E"/>
    <w:rsid w:val="02583337"/>
    <w:rsid w:val="02855B32"/>
    <w:rsid w:val="03125345"/>
    <w:rsid w:val="03744291"/>
    <w:rsid w:val="04D746D3"/>
    <w:rsid w:val="05391760"/>
    <w:rsid w:val="05FD0C48"/>
    <w:rsid w:val="06312F05"/>
    <w:rsid w:val="07604120"/>
    <w:rsid w:val="07BE4CB8"/>
    <w:rsid w:val="07C277EA"/>
    <w:rsid w:val="0A263974"/>
    <w:rsid w:val="0B9B5452"/>
    <w:rsid w:val="0BE00838"/>
    <w:rsid w:val="0E8B7CA5"/>
    <w:rsid w:val="0E9A7E77"/>
    <w:rsid w:val="0F20178F"/>
    <w:rsid w:val="104066A5"/>
    <w:rsid w:val="10727FFE"/>
    <w:rsid w:val="115707AB"/>
    <w:rsid w:val="1188511C"/>
    <w:rsid w:val="11D85CAB"/>
    <w:rsid w:val="12DB73BF"/>
    <w:rsid w:val="14B42CDC"/>
    <w:rsid w:val="159F0C4C"/>
    <w:rsid w:val="15A66B4F"/>
    <w:rsid w:val="18545A4D"/>
    <w:rsid w:val="194B3F11"/>
    <w:rsid w:val="19533665"/>
    <w:rsid w:val="19ED1DAB"/>
    <w:rsid w:val="1B57670F"/>
    <w:rsid w:val="1C6420F3"/>
    <w:rsid w:val="1CE70FA3"/>
    <w:rsid w:val="1D10519C"/>
    <w:rsid w:val="1D35313B"/>
    <w:rsid w:val="1E2C4578"/>
    <w:rsid w:val="1E815277"/>
    <w:rsid w:val="1EFA535B"/>
    <w:rsid w:val="1F7A0886"/>
    <w:rsid w:val="204147B9"/>
    <w:rsid w:val="20AE2587"/>
    <w:rsid w:val="218D2A51"/>
    <w:rsid w:val="22AC6692"/>
    <w:rsid w:val="235007EE"/>
    <w:rsid w:val="23A10821"/>
    <w:rsid w:val="23D06464"/>
    <w:rsid w:val="251D0AD8"/>
    <w:rsid w:val="25523FDD"/>
    <w:rsid w:val="25D000E9"/>
    <w:rsid w:val="25EC6862"/>
    <w:rsid w:val="264F1BC3"/>
    <w:rsid w:val="26B2086D"/>
    <w:rsid w:val="294D07BA"/>
    <w:rsid w:val="297B3F48"/>
    <w:rsid w:val="2B000A5C"/>
    <w:rsid w:val="2B68155C"/>
    <w:rsid w:val="2BCD7477"/>
    <w:rsid w:val="2BFC5E9A"/>
    <w:rsid w:val="2C7A6C48"/>
    <w:rsid w:val="2D3A2923"/>
    <w:rsid w:val="2DC72730"/>
    <w:rsid w:val="2EE82C22"/>
    <w:rsid w:val="3274694C"/>
    <w:rsid w:val="34A66D53"/>
    <w:rsid w:val="3532222F"/>
    <w:rsid w:val="3698085E"/>
    <w:rsid w:val="36C36A52"/>
    <w:rsid w:val="37441368"/>
    <w:rsid w:val="378E4C1F"/>
    <w:rsid w:val="38BF522A"/>
    <w:rsid w:val="395F32B1"/>
    <w:rsid w:val="39750FA6"/>
    <w:rsid w:val="398A00AE"/>
    <w:rsid w:val="39BC5834"/>
    <w:rsid w:val="3AEC2FC3"/>
    <w:rsid w:val="3C692875"/>
    <w:rsid w:val="3CEB6D40"/>
    <w:rsid w:val="3E007969"/>
    <w:rsid w:val="3EA91384"/>
    <w:rsid w:val="3F4A62EF"/>
    <w:rsid w:val="3F5D587B"/>
    <w:rsid w:val="40093375"/>
    <w:rsid w:val="40473962"/>
    <w:rsid w:val="41212ED3"/>
    <w:rsid w:val="44307605"/>
    <w:rsid w:val="445A40C2"/>
    <w:rsid w:val="44DB2424"/>
    <w:rsid w:val="465F76FF"/>
    <w:rsid w:val="474C4AB7"/>
    <w:rsid w:val="48934632"/>
    <w:rsid w:val="492975E9"/>
    <w:rsid w:val="496170BB"/>
    <w:rsid w:val="49D57470"/>
    <w:rsid w:val="4A8D5E64"/>
    <w:rsid w:val="4B012307"/>
    <w:rsid w:val="4BE23926"/>
    <w:rsid w:val="4BF03ED3"/>
    <w:rsid w:val="4C1B737A"/>
    <w:rsid w:val="4CF000D9"/>
    <w:rsid w:val="4D2D1533"/>
    <w:rsid w:val="4E35456D"/>
    <w:rsid w:val="4FB610DF"/>
    <w:rsid w:val="515C7CB7"/>
    <w:rsid w:val="519731C8"/>
    <w:rsid w:val="52ED63CA"/>
    <w:rsid w:val="530C2BC5"/>
    <w:rsid w:val="54604D08"/>
    <w:rsid w:val="557E2E66"/>
    <w:rsid w:val="56176991"/>
    <w:rsid w:val="593604A4"/>
    <w:rsid w:val="59DE0089"/>
    <w:rsid w:val="5A58198D"/>
    <w:rsid w:val="5A5F75AE"/>
    <w:rsid w:val="5AAC030A"/>
    <w:rsid w:val="5BA50A71"/>
    <w:rsid w:val="5C04482E"/>
    <w:rsid w:val="5CF22108"/>
    <w:rsid w:val="5D6840F1"/>
    <w:rsid w:val="5DFF6B02"/>
    <w:rsid w:val="5E33242A"/>
    <w:rsid w:val="5F5A65D3"/>
    <w:rsid w:val="5F7F5DBA"/>
    <w:rsid w:val="62DE3C8A"/>
    <w:rsid w:val="630611AF"/>
    <w:rsid w:val="63D20828"/>
    <w:rsid w:val="659945F4"/>
    <w:rsid w:val="663E3A4A"/>
    <w:rsid w:val="67D76F21"/>
    <w:rsid w:val="68A24380"/>
    <w:rsid w:val="691D73DA"/>
    <w:rsid w:val="69A11F0F"/>
    <w:rsid w:val="6A162F70"/>
    <w:rsid w:val="6A8963EB"/>
    <w:rsid w:val="6AEA3140"/>
    <w:rsid w:val="6AFE00E9"/>
    <w:rsid w:val="6B320E8C"/>
    <w:rsid w:val="6C6C222E"/>
    <w:rsid w:val="6D5F0A5A"/>
    <w:rsid w:val="6D941A3A"/>
    <w:rsid w:val="6DE104BF"/>
    <w:rsid w:val="6F3F7B65"/>
    <w:rsid w:val="70125B3D"/>
    <w:rsid w:val="72451BA5"/>
    <w:rsid w:val="72653C4D"/>
    <w:rsid w:val="726C6729"/>
    <w:rsid w:val="72A04E13"/>
    <w:rsid w:val="72BD17E3"/>
    <w:rsid w:val="73A2305F"/>
    <w:rsid w:val="73D34F7A"/>
    <w:rsid w:val="743F0DEE"/>
    <w:rsid w:val="754C1B57"/>
    <w:rsid w:val="77724E46"/>
    <w:rsid w:val="78496751"/>
    <w:rsid w:val="793E3459"/>
    <w:rsid w:val="7A0A777E"/>
    <w:rsid w:val="7C1B534D"/>
    <w:rsid w:val="7E20016B"/>
    <w:rsid w:val="7E990389"/>
    <w:rsid w:val="7EB715B0"/>
    <w:rsid w:val="7EEF66F9"/>
    <w:rsid w:val="7F403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9"/>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annotation reference"/>
    <w:basedOn w:val="6"/>
    <w:unhideWhenUsed/>
    <w:qFormat/>
    <w:uiPriority w:val="99"/>
    <w:rPr>
      <w:sz w:val="21"/>
      <w:szCs w:val="21"/>
    </w:rPr>
  </w:style>
  <w:style w:type="character" w:customStyle="1" w:styleId="9">
    <w:name w:val="批注文字 Char"/>
    <w:basedOn w:val="6"/>
    <w:link w:val="2"/>
    <w:semiHidden/>
    <w:qFormat/>
    <w:uiPriority w:val="99"/>
    <w:rPr>
      <w:rFonts w:ascii="Times New Roman" w:hAnsi="Times New Roman" w:eastAsia="宋体" w:cs="Times New Roman"/>
      <w:szCs w:val="24"/>
    </w:rPr>
  </w:style>
  <w:style w:type="character" w:customStyle="1" w:styleId="10">
    <w:name w:val="页脚 Char"/>
    <w:basedOn w:val="6"/>
    <w:link w:val="4"/>
    <w:qFormat/>
    <w:uiPriority w:val="0"/>
    <w:rPr>
      <w:rFonts w:ascii="Times New Roman" w:hAnsi="Times New Roman" w:eastAsia="宋体" w:cs="Times New Roman"/>
      <w:sz w:val="18"/>
      <w:szCs w:val="18"/>
    </w:rPr>
  </w:style>
  <w:style w:type="character" w:customStyle="1" w:styleId="11">
    <w:name w:val="NormalCharacter"/>
    <w:semiHidden/>
    <w:qFormat/>
    <w:uiPriority w:val="0"/>
  </w:style>
  <w:style w:type="character" w:customStyle="1" w:styleId="12">
    <w:name w:val="PageNumber"/>
    <w:basedOn w:val="11"/>
    <w:qFormat/>
    <w:uiPriority w:val="0"/>
  </w:style>
  <w:style w:type="paragraph" w:customStyle="1" w:styleId="13">
    <w:name w:val="BodyTextIndent"/>
    <w:basedOn w:val="1"/>
    <w:qFormat/>
    <w:uiPriority w:val="0"/>
    <w:pPr>
      <w:ind w:firstLine="570"/>
    </w:pPr>
    <w:rPr>
      <w:rFonts w:ascii="宋体" w:hAnsi="宋体"/>
      <w:sz w:val="32"/>
    </w:rPr>
  </w:style>
  <w:style w:type="character" w:customStyle="1" w:styleId="14">
    <w:name w:val="批注框文本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1293</Words>
  <Characters>7372</Characters>
  <Lines>61</Lines>
  <Paragraphs>17</Paragraphs>
  <TotalTime>114</TotalTime>
  <ScaleCrop>false</ScaleCrop>
  <LinksUpToDate>false</LinksUpToDate>
  <CharactersWithSpaces>8648</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2020-08-06T01:55:00Z</dcterms:created>
  <dc:creator>黄民柱</dc:creator>
  <cp:lastModifiedBy>李爱腾</cp:lastModifiedBy>
  <cp:lastPrinted>2020-10-29T15:16:00Z</cp:lastPrinted>
  <dcterms:modified xsi:type="dcterms:W3CDTF">2020-10-30T07:40:44Z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