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EF" w:rsidRDefault="00033DEF" w:rsidP="00033DEF">
      <w:pPr>
        <w:spacing w:line="440" w:lineRule="exact"/>
        <w:jc w:val="left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附件</w:t>
      </w:r>
      <w:r>
        <w:rPr>
          <w:rFonts w:hAnsi="宋体" w:hint="eastAsia"/>
          <w:b/>
          <w:bCs/>
          <w:sz w:val="24"/>
        </w:rPr>
        <w:t>3</w:t>
      </w:r>
    </w:p>
    <w:p w:rsidR="00033DEF" w:rsidRDefault="00033DEF" w:rsidP="00033DEF">
      <w:pPr>
        <w:spacing w:line="440" w:lineRule="exact"/>
        <w:jc w:val="center"/>
        <w:rPr>
          <w:rFonts w:hAnsi="宋体"/>
          <w:b/>
          <w:sz w:val="28"/>
        </w:rPr>
      </w:pPr>
    </w:p>
    <w:p w:rsidR="00033DEF" w:rsidRDefault="00033DEF" w:rsidP="00033DEF">
      <w:pPr>
        <w:spacing w:line="440" w:lineRule="exact"/>
        <w:jc w:val="center"/>
        <w:rPr>
          <w:rFonts w:hAnsi="宋体"/>
          <w:b/>
          <w:sz w:val="28"/>
        </w:rPr>
      </w:pPr>
      <w:r>
        <w:rPr>
          <w:rFonts w:hAnsi="宋体" w:hint="eastAsia"/>
          <w:b/>
          <w:sz w:val="28"/>
        </w:rPr>
        <w:t>博物馆安</w:t>
      </w:r>
      <w:proofErr w:type="gramStart"/>
      <w:r>
        <w:rPr>
          <w:rFonts w:hAnsi="宋体" w:hint="eastAsia"/>
          <w:b/>
          <w:sz w:val="28"/>
        </w:rPr>
        <w:t>防服务</w:t>
      </w:r>
      <w:proofErr w:type="gramEnd"/>
      <w:r>
        <w:rPr>
          <w:rFonts w:hAnsi="宋体" w:hint="eastAsia"/>
          <w:b/>
          <w:sz w:val="28"/>
        </w:rPr>
        <w:t>监管考评指引</w:t>
      </w:r>
    </w:p>
    <w:p w:rsidR="00033DEF" w:rsidRDefault="00033DEF" w:rsidP="00033DEF">
      <w:pPr>
        <w:spacing w:line="440" w:lineRule="exact"/>
        <w:jc w:val="center"/>
        <w:rPr>
          <w:rFonts w:hAnsi="宋体"/>
          <w:b/>
          <w:sz w:val="28"/>
        </w:rPr>
      </w:pPr>
    </w:p>
    <w:p w:rsidR="00033DEF" w:rsidRDefault="00033DEF" w:rsidP="00033DEF">
      <w:pPr>
        <w:spacing w:line="44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为了加强深圳大鹏半岛国家地质公园管理处博物馆安</w:t>
      </w:r>
      <w:proofErr w:type="gramStart"/>
      <w:r>
        <w:rPr>
          <w:rFonts w:hAnsi="宋体" w:hint="eastAsia"/>
        </w:rPr>
        <w:t>防服务</w:t>
      </w:r>
      <w:proofErr w:type="gramEnd"/>
      <w:r>
        <w:rPr>
          <w:rFonts w:hAnsi="宋体" w:hint="eastAsia"/>
        </w:rPr>
        <w:t>管理工作，不断提升管理水平，制定本指引。</w:t>
      </w:r>
    </w:p>
    <w:p w:rsidR="00033DEF" w:rsidRDefault="00033DEF" w:rsidP="00033DEF">
      <w:pPr>
        <w:numPr>
          <w:ilvl w:val="0"/>
          <w:numId w:val="1"/>
        </w:numPr>
        <w:spacing w:line="440" w:lineRule="exact"/>
        <w:ind w:firstLineChars="200" w:firstLine="422"/>
        <w:rPr>
          <w:rFonts w:hAnsi="宋体"/>
          <w:b/>
          <w:bCs/>
        </w:rPr>
      </w:pPr>
      <w:r>
        <w:rPr>
          <w:rFonts w:hAnsi="宋体" w:hint="eastAsia"/>
          <w:b/>
          <w:bCs/>
        </w:rPr>
        <w:t xml:space="preserve">　考评小组</w:t>
      </w:r>
    </w:p>
    <w:p w:rsidR="00033DEF" w:rsidRDefault="00033DEF" w:rsidP="00033DEF">
      <w:pPr>
        <w:spacing w:line="440" w:lineRule="exact"/>
        <w:ind w:firstLine="481"/>
        <w:rPr>
          <w:rFonts w:hAnsi="宋体"/>
        </w:rPr>
      </w:pPr>
      <w:r>
        <w:rPr>
          <w:rFonts w:hAnsi="宋体" w:hint="eastAsia"/>
        </w:rPr>
        <w:t>管理处成立博物馆安</w:t>
      </w:r>
      <w:proofErr w:type="gramStart"/>
      <w:r>
        <w:rPr>
          <w:rFonts w:hAnsi="宋体" w:hint="eastAsia"/>
        </w:rPr>
        <w:t>防服务</w:t>
      </w:r>
      <w:proofErr w:type="gramEnd"/>
      <w:r>
        <w:rPr>
          <w:rFonts w:hAnsi="宋体" w:hint="eastAsia"/>
        </w:rPr>
        <w:t>监管考评小组（以下简称考评小组），负责该项目的统筹管理。考评小组组长为管理部门分管领导，副组长为管理部门负责人，考评小组成员由管理部门工作人员组成。</w:t>
      </w:r>
    </w:p>
    <w:p w:rsidR="00033DEF" w:rsidRDefault="00033DEF" w:rsidP="00033DEF">
      <w:pPr>
        <w:spacing w:line="440" w:lineRule="exact"/>
        <w:ind w:firstLineChars="200" w:firstLine="422"/>
        <w:rPr>
          <w:rFonts w:hAnsi="宋体"/>
          <w:b/>
          <w:bCs/>
        </w:rPr>
      </w:pPr>
      <w:r>
        <w:rPr>
          <w:rFonts w:hAnsi="宋体" w:hint="eastAsia"/>
          <w:b/>
          <w:bCs/>
        </w:rPr>
        <w:t>第二条　考评方式</w:t>
      </w:r>
    </w:p>
    <w:p w:rsidR="00033DEF" w:rsidRDefault="00033DEF" w:rsidP="00033DEF">
      <w:pPr>
        <w:spacing w:line="44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该项目考评分为日常考评和月度考评两部分。</w:t>
      </w:r>
    </w:p>
    <w:p w:rsidR="00033DEF" w:rsidRDefault="00033DEF" w:rsidP="00033DEF">
      <w:pPr>
        <w:spacing w:line="440" w:lineRule="exact"/>
        <w:ind w:firstLineChars="200" w:firstLine="422"/>
        <w:rPr>
          <w:rFonts w:hAnsi="宋体"/>
          <w:b/>
        </w:rPr>
      </w:pPr>
      <w:r>
        <w:rPr>
          <w:rFonts w:hAnsi="宋体" w:hint="eastAsia"/>
          <w:b/>
        </w:rPr>
        <w:t>第三条　考评组织</w:t>
      </w:r>
    </w:p>
    <w:p w:rsidR="00033DEF" w:rsidRDefault="00033DEF" w:rsidP="00033DEF">
      <w:pPr>
        <w:spacing w:line="44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日常考评由考评小组副组长组织考评小组成员、中标方负责人或技术人员，每周不定期开展考评，发现问题根据情况签发整改通知单，限期整改或直接扣分处理。</w:t>
      </w:r>
    </w:p>
    <w:p w:rsidR="00033DEF" w:rsidRDefault="00033DEF" w:rsidP="00033DEF">
      <w:pPr>
        <w:spacing w:line="44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月度考评由考评小组组长带队组织中标方负责人参加集中考评，发现问题根据情况签发整改通知单，限期整改或直接扣分处理。</w:t>
      </w:r>
    </w:p>
    <w:p w:rsidR="00033DEF" w:rsidRDefault="00033DEF" w:rsidP="00033DEF">
      <w:pPr>
        <w:spacing w:line="440" w:lineRule="exact"/>
        <w:ind w:firstLineChars="200" w:firstLine="422"/>
        <w:rPr>
          <w:rFonts w:hAnsi="宋体"/>
          <w:b/>
          <w:bCs/>
        </w:rPr>
      </w:pPr>
      <w:r>
        <w:rPr>
          <w:rFonts w:hAnsi="宋体" w:hint="eastAsia"/>
          <w:b/>
          <w:bCs/>
        </w:rPr>
        <w:t>第四条　考评计分</w:t>
      </w:r>
    </w:p>
    <w:p w:rsidR="00033DEF" w:rsidRDefault="00033DEF" w:rsidP="00033DEF">
      <w:pPr>
        <w:spacing w:line="44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日常考评以一周为周期，每周不少于</w:t>
      </w:r>
      <w:r>
        <w:rPr>
          <w:rFonts w:hAnsi="宋体"/>
        </w:rPr>
        <w:t>3</w:t>
      </w:r>
      <w:r>
        <w:rPr>
          <w:rFonts w:hAnsi="宋体" w:hint="eastAsia"/>
        </w:rPr>
        <w:t>次考评，按每周百分制考评计分，考评小组分别对照《博物馆安防服务监管考评评分表（日常）》进行考评，一周内多次日常扣除进行累计，累计扣除后所得分值为本周日常考评得分，每月周考评平均分为该月日常考评分数，在《博物馆安防服务监管考评月度总考评表》中占比</w:t>
      </w:r>
      <w:r>
        <w:rPr>
          <w:rFonts w:hAnsi="宋体" w:hint="eastAsia"/>
        </w:rPr>
        <w:t>4</w:t>
      </w:r>
      <w:r>
        <w:rPr>
          <w:rFonts w:hAnsi="宋体"/>
        </w:rPr>
        <w:t>0%</w:t>
      </w:r>
      <w:r>
        <w:rPr>
          <w:rFonts w:hAnsi="宋体" w:hint="eastAsia"/>
        </w:rPr>
        <w:t>。周末及节假日等管理处园区巡查发现问题均为日常考评依据。</w:t>
      </w:r>
      <w:r>
        <w:rPr>
          <w:rFonts w:hAnsi="宋体"/>
        </w:rPr>
        <w:t xml:space="preserve"> </w:t>
      </w:r>
    </w:p>
    <w:p w:rsidR="00033DEF" w:rsidRDefault="00033DEF" w:rsidP="00033DEF">
      <w:pPr>
        <w:spacing w:line="44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月度考评每月开展</w:t>
      </w:r>
      <w:r>
        <w:rPr>
          <w:rFonts w:hAnsi="宋体"/>
        </w:rPr>
        <w:t>1</w:t>
      </w:r>
      <w:r>
        <w:rPr>
          <w:rFonts w:hAnsi="宋体" w:hint="eastAsia"/>
        </w:rPr>
        <w:t>次，按百分制考评计分，由考评小组组长带队集中检查，考评小组分别对照《博物馆安防服务监管考评评分表（月度）》进行考评，减去检查扣分为该月度考评分值，在《博物馆安防服务监管考评月度总考评表》中占比</w:t>
      </w:r>
      <w:r>
        <w:rPr>
          <w:rFonts w:hAnsi="宋体" w:hint="eastAsia"/>
        </w:rPr>
        <w:t>6</w:t>
      </w:r>
      <w:r>
        <w:rPr>
          <w:rFonts w:hAnsi="宋体"/>
        </w:rPr>
        <w:t>0%</w:t>
      </w:r>
      <w:r>
        <w:rPr>
          <w:rFonts w:hAnsi="宋体" w:hint="eastAsia"/>
        </w:rPr>
        <w:t>。</w:t>
      </w:r>
    </w:p>
    <w:p w:rsidR="00033DEF" w:rsidRDefault="00033DEF" w:rsidP="00033DEF">
      <w:pPr>
        <w:spacing w:line="440" w:lineRule="exact"/>
        <w:ind w:firstLineChars="200" w:firstLine="422"/>
        <w:rPr>
          <w:rFonts w:hAnsi="宋体"/>
          <w:b/>
        </w:rPr>
      </w:pPr>
      <w:r>
        <w:rPr>
          <w:rFonts w:hAnsi="宋体" w:hint="eastAsia"/>
          <w:b/>
        </w:rPr>
        <w:t>第五条　考评结果</w:t>
      </w:r>
    </w:p>
    <w:p w:rsidR="00033DEF" w:rsidRDefault="00033DEF" w:rsidP="00033DEF">
      <w:pPr>
        <w:spacing w:line="44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《博物馆安防服务监管考评月度总评分表》依据日常考评和月度考评结果每月填报</w:t>
      </w:r>
      <w:r>
        <w:rPr>
          <w:rFonts w:hAnsi="宋体"/>
        </w:rPr>
        <w:t>1</w:t>
      </w:r>
      <w:r>
        <w:rPr>
          <w:rFonts w:hAnsi="宋体" w:hint="eastAsia"/>
        </w:rPr>
        <w:t>次，是月度支付服务费的依据之一。对于以下严重影响项目管理的问题，考评小组在扣分基础上还将做扣款处理。</w:t>
      </w:r>
    </w:p>
    <w:p w:rsidR="00033DEF" w:rsidRDefault="00033DEF" w:rsidP="00033DEF">
      <w:pPr>
        <w:spacing w:line="440" w:lineRule="exact"/>
        <w:ind w:firstLineChars="200" w:firstLine="420"/>
        <w:rPr>
          <w:rFonts w:hAnsi="宋体"/>
        </w:rPr>
      </w:pPr>
      <w:r>
        <w:rPr>
          <w:rFonts w:hAnsi="宋体"/>
        </w:rPr>
        <w:t>1</w:t>
      </w:r>
      <w:r>
        <w:rPr>
          <w:rFonts w:hAnsi="宋体" w:hint="eastAsia"/>
        </w:rPr>
        <w:t>、人员缺岗。人员出现缺岗，</w:t>
      </w:r>
      <w:r>
        <w:rPr>
          <w:rFonts w:hAnsi="宋体"/>
        </w:rPr>
        <w:t>3</w:t>
      </w:r>
      <w:r>
        <w:rPr>
          <w:rFonts w:hAnsi="宋体" w:hint="eastAsia"/>
        </w:rPr>
        <w:t>天内仍不能及时到岗的，主管及技术人员缺岗每人每</w:t>
      </w:r>
      <w:r>
        <w:rPr>
          <w:rFonts w:hAnsi="宋体" w:hint="eastAsia"/>
        </w:rPr>
        <w:lastRenderedPageBreak/>
        <w:t>天罚款</w:t>
      </w:r>
      <w:r>
        <w:rPr>
          <w:rFonts w:hAnsi="宋体"/>
        </w:rPr>
        <w:t>1000</w:t>
      </w:r>
      <w:r>
        <w:rPr>
          <w:rFonts w:hAnsi="宋体" w:hint="eastAsia"/>
        </w:rPr>
        <w:t>元。队员缺岗每人每天罚款</w:t>
      </w:r>
      <w:r>
        <w:rPr>
          <w:rFonts w:hAnsi="宋体"/>
        </w:rPr>
        <w:t>500</w:t>
      </w:r>
      <w:r>
        <w:rPr>
          <w:rFonts w:hAnsi="宋体" w:hint="eastAsia"/>
        </w:rPr>
        <w:t>元。</w:t>
      </w:r>
    </w:p>
    <w:p w:rsidR="00033DEF" w:rsidRDefault="00033DEF" w:rsidP="00033DEF">
      <w:pPr>
        <w:spacing w:line="440" w:lineRule="exact"/>
        <w:ind w:firstLineChars="200" w:firstLine="420"/>
        <w:rPr>
          <w:rFonts w:hAnsi="宋体"/>
        </w:rPr>
      </w:pPr>
      <w:r>
        <w:rPr>
          <w:rFonts w:hAnsi="宋体"/>
        </w:rPr>
        <w:t>2</w:t>
      </w:r>
      <w:r>
        <w:rPr>
          <w:rFonts w:hAnsi="宋体" w:hint="eastAsia"/>
        </w:rPr>
        <w:t>、未落实整改。考评小组对检查出现的问题签发整改通知单，中标方逾期仍未按照要求整改的，每逾期一天扣款</w:t>
      </w:r>
      <w:r>
        <w:rPr>
          <w:rFonts w:hAnsi="宋体"/>
        </w:rPr>
        <w:t>1000</w:t>
      </w:r>
      <w:r>
        <w:rPr>
          <w:rFonts w:hAnsi="宋体" w:hint="eastAsia"/>
        </w:rPr>
        <w:t>元。</w:t>
      </w:r>
    </w:p>
    <w:p w:rsidR="00033DEF" w:rsidRDefault="00033DEF" w:rsidP="00033DEF">
      <w:pPr>
        <w:spacing w:line="440" w:lineRule="exact"/>
        <w:ind w:firstLineChars="200" w:firstLine="420"/>
        <w:rPr>
          <w:rFonts w:hAnsi="宋体"/>
        </w:rPr>
      </w:pPr>
      <w:r>
        <w:rPr>
          <w:rFonts w:hAnsi="宋体"/>
        </w:rPr>
        <w:t>3</w:t>
      </w:r>
      <w:r>
        <w:rPr>
          <w:rFonts w:hAnsi="宋体" w:hint="eastAsia"/>
        </w:rPr>
        <w:t>、游客投诉。因中标方工作不到位（如与游客发生争执等）造成游客有效投诉的，每出现</w:t>
      </w:r>
      <w:r>
        <w:rPr>
          <w:rFonts w:hAnsi="宋体"/>
        </w:rPr>
        <w:t>1</w:t>
      </w:r>
      <w:r>
        <w:rPr>
          <w:rFonts w:hAnsi="宋体" w:hint="eastAsia"/>
        </w:rPr>
        <w:t>次扣款</w:t>
      </w:r>
      <w:r>
        <w:rPr>
          <w:rFonts w:hAnsi="宋体"/>
        </w:rPr>
        <w:t>1000</w:t>
      </w:r>
      <w:r>
        <w:rPr>
          <w:rFonts w:hAnsi="宋体" w:hint="eastAsia"/>
        </w:rPr>
        <w:t>元。</w:t>
      </w:r>
    </w:p>
    <w:p w:rsidR="00033DEF" w:rsidRDefault="00033DEF" w:rsidP="00033DEF">
      <w:pPr>
        <w:spacing w:line="440" w:lineRule="exact"/>
        <w:ind w:firstLineChars="200" w:firstLine="420"/>
        <w:rPr>
          <w:rFonts w:hAnsi="宋体"/>
        </w:rPr>
      </w:pPr>
      <w:r>
        <w:rPr>
          <w:rFonts w:hAnsi="宋体"/>
        </w:rPr>
        <w:t>4</w:t>
      </w:r>
      <w:r>
        <w:rPr>
          <w:rFonts w:hAnsi="宋体" w:hint="eastAsia"/>
        </w:rPr>
        <w:t>、服务中发生的其他扣款。</w:t>
      </w:r>
    </w:p>
    <w:p w:rsidR="00033DEF" w:rsidRDefault="00033DEF" w:rsidP="00033DEF">
      <w:pPr>
        <w:spacing w:line="44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该项目的扣款费用将用于补充设备维护的日常耗材物料。</w:t>
      </w:r>
    </w:p>
    <w:p w:rsidR="00033DEF" w:rsidRDefault="00033DEF" w:rsidP="00033DEF">
      <w:pPr>
        <w:rPr>
          <w:rFonts w:hAnsi="Times New Roman"/>
          <w:b/>
        </w:rPr>
      </w:pPr>
    </w:p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/>
    <w:p w:rsidR="00033DEF" w:rsidRDefault="00033DEF" w:rsidP="00033DEF">
      <w:pPr>
        <w:spacing w:line="440" w:lineRule="exact"/>
        <w:jc w:val="left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附件</w:t>
      </w:r>
      <w:r>
        <w:rPr>
          <w:rFonts w:hAnsi="宋体" w:hint="eastAsia"/>
          <w:b/>
          <w:bCs/>
          <w:sz w:val="24"/>
        </w:rPr>
        <w:t>4</w:t>
      </w:r>
    </w:p>
    <w:p w:rsidR="00033DEF" w:rsidRDefault="00033DEF" w:rsidP="00033DEF"/>
    <w:p w:rsidR="00033DEF" w:rsidRDefault="00033DEF" w:rsidP="00033DEF">
      <w:pPr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博物馆安</w:t>
      </w:r>
      <w:proofErr w:type="gramStart"/>
      <w:r>
        <w:rPr>
          <w:rFonts w:hAnsi="宋体" w:hint="eastAsia"/>
          <w:b/>
          <w:sz w:val="28"/>
          <w:szCs w:val="28"/>
        </w:rPr>
        <w:t>防服务</w:t>
      </w:r>
      <w:proofErr w:type="gramEnd"/>
      <w:r>
        <w:rPr>
          <w:rFonts w:hAnsi="宋体" w:hint="eastAsia"/>
          <w:b/>
          <w:sz w:val="28"/>
          <w:szCs w:val="28"/>
        </w:rPr>
        <w:t>监管考评月度总评分表</w:t>
      </w:r>
    </w:p>
    <w:p w:rsidR="00033DEF" w:rsidRDefault="00033DEF" w:rsidP="00033DEF">
      <w:pPr>
        <w:spacing w:line="440" w:lineRule="exact"/>
        <w:ind w:right="26"/>
        <w:jc w:val="center"/>
        <w:rPr>
          <w:rFonts w:hAnsi="宋体"/>
          <w:szCs w:val="21"/>
        </w:rPr>
      </w:pPr>
      <w:r>
        <w:rPr>
          <w:rFonts w:hAnsi="宋体"/>
          <w:szCs w:val="21"/>
        </w:rPr>
        <w:t xml:space="preserve">              </w:t>
      </w:r>
      <w:r>
        <w:rPr>
          <w:rFonts w:hAnsi="宋体" w:hint="eastAsia"/>
          <w:szCs w:val="21"/>
        </w:rPr>
        <w:t xml:space="preserve">　　　　　　　　　　　</w:t>
      </w:r>
      <w:r>
        <w:rPr>
          <w:rFonts w:hAnsi="宋体"/>
          <w:szCs w:val="21"/>
        </w:rPr>
        <w:t xml:space="preserve">           </w:t>
      </w:r>
      <w:r>
        <w:rPr>
          <w:rFonts w:hAnsi="宋体" w:hint="eastAsia"/>
          <w:szCs w:val="21"/>
        </w:rPr>
        <w:t xml:space="preserve">日期：　　　　年　　月　　</w:t>
      </w:r>
      <w:proofErr w:type="gramStart"/>
      <w:r>
        <w:rPr>
          <w:rFonts w:hAnsi="宋体" w:hint="eastAsia"/>
          <w:szCs w:val="21"/>
        </w:rPr>
        <w:t xml:space="preserve">　</w:t>
      </w:r>
      <w:proofErr w:type="gramEnd"/>
      <w:r>
        <w:rPr>
          <w:rFonts w:hAnsi="宋体" w:hint="eastAsia"/>
          <w:szCs w:val="21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851"/>
        <w:gridCol w:w="850"/>
        <w:gridCol w:w="992"/>
        <w:gridCol w:w="786"/>
        <w:gridCol w:w="207"/>
        <w:gridCol w:w="2989"/>
      </w:tblGrid>
      <w:tr w:rsidR="00033DEF" w:rsidTr="00142921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rFonts w:hAnsi="Times New Roman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6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内容</w:t>
            </w:r>
          </w:p>
        </w:tc>
      </w:tr>
      <w:tr w:rsidR="00033DEF" w:rsidTr="00142921">
        <w:trPr>
          <w:trHeight w:val="706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日常考核平均得分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</w:pPr>
            <w:r>
              <w:rPr>
                <w:rFonts w:hint="eastAsia"/>
              </w:rPr>
              <w:t>第一周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</w:pPr>
            <w:r>
              <w:rPr>
                <w:rFonts w:hint="eastAsia"/>
              </w:rPr>
              <w:t>第二周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</w:pPr>
            <w:r>
              <w:rPr>
                <w:rFonts w:hint="eastAsia"/>
              </w:rPr>
              <w:t>第三周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</w:pPr>
            <w:r>
              <w:rPr>
                <w:rFonts w:hint="eastAsia"/>
              </w:rPr>
              <w:t>第四周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</w:pPr>
            <w:r>
              <w:rPr>
                <w:rFonts w:hint="eastAsia"/>
              </w:rPr>
              <w:t>平均</w:t>
            </w:r>
          </w:p>
        </w:tc>
      </w:tr>
      <w:tr w:rsidR="00033DEF" w:rsidTr="00142921">
        <w:trPr>
          <w:trHeight w:val="731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</w:pPr>
          </w:p>
        </w:tc>
      </w:tr>
      <w:tr w:rsidR="00033DEF" w:rsidTr="00142921">
        <w:trPr>
          <w:trHeight w:val="904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</w:pPr>
            <w:r>
              <w:rPr>
                <w:rFonts w:hint="eastAsia"/>
              </w:rPr>
              <w:t>月度考核得分</w:t>
            </w:r>
          </w:p>
        </w:tc>
        <w:tc>
          <w:tcPr>
            <w:tcW w:w="6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</w:pPr>
          </w:p>
        </w:tc>
      </w:tr>
      <w:tr w:rsidR="00033DEF" w:rsidTr="00142921">
        <w:trPr>
          <w:trHeight w:val="872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</w:pPr>
            <w:r>
              <w:rPr>
                <w:rFonts w:hint="eastAsia"/>
              </w:rPr>
              <w:t>月度总评分计算公式</w:t>
            </w:r>
          </w:p>
        </w:tc>
        <w:tc>
          <w:tcPr>
            <w:tcW w:w="6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</w:pPr>
            <w:r>
              <w:rPr>
                <w:rFonts w:hAnsi="宋体" w:hint="eastAsia"/>
              </w:rPr>
              <w:t>总评分</w:t>
            </w:r>
            <w:r>
              <w:rPr>
                <w:rFonts w:hAnsi="宋体"/>
              </w:rPr>
              <w:t>=</w:t>
            </w:r>
            <w:r>
              <w:rPr>
                <w:rFonts w:hAnsi="宋体" w:hint="eastAsia"/>
              </w:rPr>
              <w:t>4</w:t>
            </w:r>
            <w:r>
              <w:rPr>
                <w:rFonts w:hAnsi="宋体"/>
              </w:rPr>
              <w:t>0</w:t>
            </w:r>
            <w:r>
              <w:rPr>
                <w:rFonts w:hAnsi="宋体" w:hint="eastAsia"/>
              </w:rPr>
              <w:t>×（日常评分</w:t>
            </w:r>
            <w:r>
              <w:rPr>
                <w:rFonts w:hAnsi="宋体"/>
              </w:rPr>
              <w:t>/100</w:t>
            </w:r>
            <w:r>
              <w:rPr>
                <w:rFonts w:hAnsi="宋体" w:hint="eastAsia"/>
              </w:rPr>
              <w:t>）＋</w:t>
            </w:r>
            <w:r>
              <w:rPr>
                <w:rFonts w:hAnsi="宋体" w:hint="eastAsia"/>
              </w:rPr>
              <w:t>6</w:t>
            </w:r>
            <w:r>
              <w:rPr>
                <w:rFonts w:hAnsi="宋体"/>
              </w:rPr>
              <w:t>0</w:t>
            </w:r>
            <w:r>
              <w:rPr>
                <w:rFonts w:hAnsi="宋体" w:hint="eastAsia"/>
              </w:rPr>
              <w:t>×（月度评分</w:t>
            </w:r>
            <w:r>
              <w:rPr>
                <w:rFonts w:hAnsi="宋体"/>
              </w:rPr>
              <w:t>/100</w:t>
            </w:r>
            <w:r>
              <w:rPr>
                <w:rFonts w:hAnsi="宋体" w:hint="eastAsia"/>
              </w:rPr>
              <w:t>）</w:t>
            </w:r>
          </w:p>
        </w:tc>
      </w:tr>
      <w:tr w:rsidR="00033DEF" w:rsidTr="00142921">
        <w:trPr>
          <w:trHeight w:val="905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</w:pPr>
            <w:r>
              <w:rPr>
                <w:rFonts w:hint="eastAsia"/>
              </w:rPr>
              <w:t>月度总评分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</w:pPr>
            <w:r>
              <w:rPr>
                <w:rFonts w:hint="eastAsia"/>
              </w:rPr>
              <w:t>考评扣款</w:t>
            </w:r>
          </w:p>
          <w:p w:rsidR="00033DEF" w:rsidRDefault="00033DEF" w:rsidP="00142921">
            <w:pPr>
              <w:jc w:val="center"/>
            </w:pPr>
            <w:r>
              <w:rPr>
                <w:rFonts w:hint="eastAsia"/>
              </w:rPr>
              <w:t>（标准：</w:t>
            </w:r>
            <w:r>
              <w:t>100</w:t>
            </w:r>
            <w:r>
              <w:rPr>
                <w:rFonts w:hint="eastAsia"/>
              </w:rPr>
              <w:t>元</w:t>
            </w:r>
            <w:r>
              <w:t>/</w:t>
            </w:r>
            <w:r>
              <w:rPr>
                <w:rFonts w:hint="eastAsia"/>
              </w:rPr>
              <w:t>分）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</w:pPr>
          </w:p>
        </w:tc>
      </w:tr>
      <w:tr w:rsidR="00033DEF" w:rsidTr="00142921">
        <w:trPr>
          <w:trHeight w:val="644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</w:pPr>
            <w:r>
              <w:rPr>
                <w:rFonts w:hint="eastAsia"/>
              </w:rPr>
              <w:t>履约情况扣款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</w:pPr>
            <w:r>
              <w:rPr>
                <w:rFonts w:hint="eastAsia"/>
              </w:rPr>
              <w:t>扣款金额</w:t>
            </w:r>
          </w:p>
        </w:tc>
        <w:tc>
          <w:tcPr>
            <w:tcW w:w="58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EF" w:rsidRDefault="00033DEF" w:rsidP="00142921">
            <w:r>
              <w:rPr>
                <w:rFonts w:hint="eastAsia"/>
              </w:rPr>
              <w:t>扣款说明</w:t>
            </w:r>
            <w:r>
              <w:t>:</w:t>
            </w:r>
          </w:p>
        </w:tc>
      </w:tr>
      <w:tr w:rsidR="00033DEF" w:rsidTr="00142921">
        <w:trPr>
          <w:trHeight w:val="747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</w:pPr>
          </w:p>
        </w:tc>
        <w:tc>
          <w:tcPr>
            <w:tcW w:w="58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33DEF" w:rsidTr="00142921">
        <w:trPr>
          <w:trHeight w:val="109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spacing w:line="44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中标方签收人</w:t>
            </w:r>
          </w:p>
          <w:p w:rsidR="00033DEF" w:rsidRDefault="00033DEF" w:rsidP="00142921">
            <w:pPr>
              <w:jc w:val="center"/>
              <w:rPr>
                <w:rFonts w:hAnsi="Times New Roman"/>
              </w:rPr>
            </w:pPr>
            <w:r>
              <w:rPr>
                <w:rFonts w:hAnsi="宋体" w:hint="eastAsia"/>
              </w:rPr>
              <w:t>（签名）</w:t>
            </w:r>
          </w:p>
        </w:tc>
        <w:tc>
          <w:tcPr>
            <w:tcW w:w="6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</w:pPr>
          </w:p>
        </w:tc>
      </w:tr>
      <w:tr w:rsidR="00033DEF" w:rsidTr="00142921">
        <w:trPr>
          <w:trHeight w:val="975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考评小组副组长</w:t>
            </w:r>
          </w:p>
          <w:p w:rsidR="00033DEF" w:rsidRDefault="00033DEF" w:rsidP="00142921">
            <w:pPr>
              <w:jc w:val="center"/>
              <w:rPr>
                <w:rFonts w:hAnsi="Times New Roman"/>
              </w:rPr>
            </w:pPr>
            <w:r>
              <w:rPr>
                <w:rFonts w:hAnsi="宋体" w:hint="eastAsia"/>
              </w:rPr>
              <w:t>（签名）</w:t>
            </w:r>
          </w:p>
        </w:tc>
        <w:tc>
          <w:tcPr>
            <w:tcW w:w="6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</w:pPr>
          </w:p>
        </w:tc>
      </w:tr>
      <w:tr w:rsidR="00033DEF" w:rsidTr="00142921">
        <w:trPr>
          <w:trHeight w:val="712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spacing w:line="44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考评小组成员</w:t>
            </w:r>
          </w:p>
          <w:p w:rsidR="00033DEF" w:rsidRDefault="00033DEF" w:rsidP="00142921">
            <w:pPr>
              <w:spacing w:line="44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（签名）</w:t>
            </w:r>
          </w:p>
        </w:tc>
        <w:tc>
          <w:tcPr>
            <w:tcW w:w="3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rFonts w:hAnsi="Times New Roman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</w:pPr>
          </w:p>
        </w:tc>
      </w:tr>
      <w:tr w:rsidR="00033DEF" w:rsidTr="00142921">
        <w:trPr>
          <w:trHeight w:val="778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宋体"/>
                <w:szCs w:val="24"/>
              </w:rPr>
            </w:pPr>
          </w:p>
        </w:tc>
        <w:tc>
          <w:tcPr>
            <w:tcW w:w="3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</w:pPr>
          </w:p>
        </w:tc>
      </w:tr>
      <w:tr w:rsidR="00033DEF" w:rsidTr="00142921">
        <w:trPr>
          <w:trHeight w:val="152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spacing w:line="44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考评小组组长</w:t>
            </w:r>
          </w:p>
          <w:p w:rsidR="00033DEF" w:rsidRDefault="00033DEF" w:rsidP="00142921">
            <w:pPr>
              <w:spacing w:line="44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（签名）</w:t>
            </w:r>
          </w:p>
        </w:tc>
        <w:tc>
          <w:tcPr>
            <w:tcW w:w="6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rFonts w:hAnsi="Times New Roman"/>
              </w:rPr>
            </w:pPr>
          </w:p>
        </w:tc>
      </w:tr>
    </w:tbl>
    <w:p w:rsidR="00033DEF" w:rsidRDefault="00033DEF" w:rsidP="00033DEF">
      <w:pPr>
        <w:spacing w:line="440" w:lineRule="exact"/>
        <w:jc w:val="left"/>
        <w:rPr>
          <w:rFonts w:ascii="Times New Roman" w:hAnsi="宋体" w:cs="Arial"/>
          <w:szCs w:val="21"/>
        </w:rPr>
      </w:pP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  <w:r>
        <w:rPr>
          <w:rFonts w:hAnsi="宋体" w:cs="Arial" w:hint="eastAsia"/>
          <w:szCs w:val="21"/>
        </w:rPr>
        <w:lastRenderedPageBreak/>
        <w:t>注：考核评价满分为</w:t>
      </w:r>
      <w:r>
        <w:rPr>
          <w:rFonts w:hAnsi="宋体" w:cs="Arial"/>
          <w:szCs w:val="21"/>
        </w:rPr>
        <w:t>100</w:t>
      </w:r>
      <w:r>
        <w:rPr>
          <w:rFonts w:hAnsi="宋体" w:cs="Arial" w:hint="eastAsia"/>
          <w:szCs w:val="21"/>
        </w:rPr>
        <w:t>分，</w:t>
      </w:r>
      <w:r>
        <w:rPr>
          <w:rFonts w:hAnsi="宋体" w:cs="Arial"/>
          <w:szCs w:val="21"/>
        </w:rPr>
        <w:t>90</w:t>
      </w:r>
      <w:r>
        <w:rPr>
          <w:rFonts w:hAnsi="宋体" w:cs="Arial" w:hint="eastAsia"/>
          <w:szCs w:val="21"/>
        </w:rPr>
        <w:t>分以上为优，</w:t>
      </w:r>
      <w:r>
        <w:rPr>
          <w:rFonts w:hAnsi="宋体" w:cs="Arial"/>
          <w:szCs w:val="21"/>
        </w:rPr>
        <w:t>80-89</w:t>
      </w:r>
      <w:r>
        <w:rPr>
          <w:rFonts w:hAnsi="宋体" w:cs="Arial" w:hint="eastAsia"/>
          <w:szCs w:val="21"/>
        </w:rPr>
        <w:t>分为良，</w:t>
      </w:r>
      <w:r>
        <w:rPr>
          <w:rFonts w:hAnsi="宋体" w:cs="Arial"/>
          <w:szCs w:val="21"/>
        </w:rPr>
        <w:t>60-79</w:t>
      </w:r>
      <w:r>
        <w:rPr>
          <w:rFonts w:hAnsi="宋体" w:cs="Arial" w:hint="eastAsia"/>
          <w:szCs w:val="21"/>
        </w:rPr>
        <w:t>分为中，</w:t>
      </w:r>
      <w:r>
        <w:rPr>
          <w:rFonts w:hAnsi="宋体" w:cs="Arial"/>
          <w:szCs w:val="21"/>
        </w:rPr>
        <w:t>60</w:t>
      </w:r>
      <w:r>
        <w:rPr>
          <w:rFonts w:hAnsi="宋体" w:cs="Arial" w:hint="eastAsia"/>
          <w:szCs w:val="21"/>
        </w:rPr>
        <w:t>分以下为差。</w:t>
      </w: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  <w:r>
        <w:rPr>
          <w:rFonts w:hAnsi="宋体" w:cs="Arial" w:hint="eastAsia"/>
          <w:szCs w:val="21"/>
        </w:rPr>
        <w:t xml:space="preserve">　　中标单位考核评分低于</w:t>
      </w:r>
      <w:r>
        <w:rPr>
          <w:rFonts w:hAnsi="宋体" w:cs="Arial"/>
          <w:szCs w:val="21"/>
        </w:rPr>
        <w:t>85</w:t>
      </w:r>
      <w:r>
        <w:rPr>
          <w:rFonts w:hAnsi="宋体" w:cs="Arial" w:hint="eastAsia"/>
          <w:szCs w:val="21"/>
        </w:rPr>
        <w:t>分扣保险金，连续两个月低于</w:t>
      </w:r>
      <w:r>
        <w:rPr>
          <w:rFonts w:hAnsi="宋体" w:cs="Arial"/>
          <w:szCs w:val="21"/>
        </w:rPr>
        <w:t>80</w:t>
      </w:r>
      <w:r>
        <w:rPr>
          <w:rFonts w:hAnsi="宋体" w:cs="Arial" w:hint="eastAsia"/>
          <w:szCs w:val="21"/>
        </w:rPr>
        <w:t>分招标方有权终止合同并将其纳入黑名单。</w:t>
      </w: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</w:p>
    <w:p w:rsidR="00033DEF" w:rsidRDefault="00033DEF" w:rsidP="00033DEF">
      <w:pPr>
        <w:spacing w:line="360" w:lineRule="auto"/>
        <w:rPr>
          <w:rFonts w:hAnsi="宋体" w:cs="Arial"/>
          <w:szCs w:val="21"/>
        </w:rPr>
      </w:pPr>
    </w:p>
    <w:p w:rsidR="00033DEF" w:rsidRDefault="00033DEF" w:rsidP="00033DEF">
      <w:pPr>
        <w:spacing w:line="440" w:lineRule="exact"/>
        <w:jc w:val="left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lastRenderedPageBreak/>
        <w:t>附件</w:t>
      </w:r>
      <w:r>
        <w:rPr>
          <w:rFonts w:hAnsi="宋体" w:hint="eastAsia"/>
          <w:b/>
          <w:bCs/>
          <w:sz w:val="24"/>
        </w:rPr>
        <w:t>5</w:t>
      </w:r>
    </w:p>
    <w:p w:rsidR="00033DEF" w:rsidRDefault="00033DEF" w:rsidP="00033DEF">
      <w:pPr>
        <w:spacing w:line="360" w:lineRule="auto"/>
        <w:rPr>
          <w:rFonts w:hAnsi="宋体" w:cs="Arial"/>
          <w:b/>
          <w:szCs w:val="21"/>
        </w:rPr>
      </w:pPr>
    </w:p>
    <w:p w:rsidR="00033DEF" w:rsidRDefault="00033DEF" w:rsidP="00033DEF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博物馆安</w:t>
      </w:r>
      <w:proofErr w:type="gramStart"/>
      <w:r>
        <w:rPr>
          <w:rFonts w:hAnsi="宋体" w:hint="eastAsia"/>
          <w:b/>
          <w:sz w:val="28"/>
          <w:szCs w:val="28"/>
        </w:rPr>
        <w:t>防</w:t>
      </w:r>
      <w:r>
        <w:rPr>
          <w:rFonts w:ascii="宋体" w:hAnsi="宋体" w:hint="eastAsia"/>
          <w:b/>
          <w:sz w:val="28"/>
          <w:szCs w:val="28"/>
        </w:rPr>
        <w:t>服务</w:t>
      </w:r>
      <w:proofErr w:type="gramEnd"/>
      <w:r>
        <w:rPr>
          <w:rFonts w:ascii="宋体" w:hAnsi="宋体" w:hint="eastAsia"/>
          <w:b/>
          <w:sz w:val="28"/>
          <w:szCs w:val="28"/>
        </w:rPr>
        <w:t>项目监管考评评分表（日常）</w:t>
      </w:r>
    </w:p>
    <w:p w:rsidR="00033DEF" w:rsidRDefault="00033DEF" w:rsidP="00033DEF">
      <w:pPr>
        <w:jc w:val="left"/>
        <w:rPr>
          <w:rFonts w:ascii="Times New Roman" w:hAnsi="Times New Roman"/>
          <w:sz w:val="18"/>
          <w:szCs w:val="18"/>
        </w:rPr>
      </w:pPr>
      <w:r>
        <w:rPr>
          <w:rFonts w:hint="eastAsia"/>
          <w:sz w:val="18"/>
          <w:szCs w:val="18"/>
        </w:rPr>
        <w:t>考评日期：</w:t>
      </w:r>
      <w:r>
        <w:rPr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>年</w:t>
      </w:r>
      <w:r>
        <w:rPr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>月</w:t>
      </w:r>
      <w:r>
        <w:rPr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日</w:t>
      </w:r>
      <w:r>
        <w:rPr>
          <w:sz w:val="18"/>
          <w:szCs w:val="18"/>
        </w:rPr>
        <w:t xml:space="preserve">                                            </w:t>
      </w:r>
      <w:r>
        <w:rPr>
          <w:rFonts w:hint="eastAsia"/>
          <w:sz w:val="18"/>
          <w:szCs w:val="18"/>
        </w:rPr>
        <w:t>本次得分：</w:t>
      </w:r>
      <w:r>
        <w:rPr>
          <w:sz w:val="18"/>
          <w:szCs w:val="18"/>
        </w:rPr>
        <w:t xml:space="preserve">     </w:t>
      </w:r>
    </w:p>
    <w:tbl>
      <w:tblPr>
        <w:tblW w:w="97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993"/>
        <w:gridCol w:w="3313"/>
        <w:gridCol w:w="514"/>
        <w:gridCol w:w="3093"/>
        <w:gridCol w:w="1260"/>
      </w:tblGrid>
      <w:tr w:rsidR="00033DEF" w:rsidTr="00142921">
        <w:trPr>
          <w:trHeight w:val="530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量化指标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考评项目</w:t>
            </w:r>
          </w:p>
        </w:tc>
        <w:tc>
          <w:tcPr>
            <w:tcW w:w="30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考评标准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扣分</w:t>
            </w:r>
          </w:p>
        </w:tc>
      </w:tr>
      <w:tr w:rsidR="00033DEF" w:rsidTr="00142921">
        <w:trPr>
          <w:trHeight w:val="423"/>
        </w:trPr>
        <w:tc>
          <w:tcPr>
            <w:tcW w:w="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在岗数量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  <w:r>
              <w:rPr>
                <w:rFonts w:hint="eastAsia"/>
                <w:sz w:val="18"/>
                <w:szCs w:val="18"/>
              </w:rPr>
              <w:t>、</w:t>
            </w:r>
            <w:proofErr w:type="gramStart"/>
            <w:r>
              <w:rPr>
                <w:rFonts w:hint="eastAsia"/>
                <w:sz w:val="18"/>
                <w:szCs w:val="18"/>
              </w:rPr>
              <w:t>在岗数</w:t>
            </w:r>
            <w:proofErr w:type="gramEnd"/>
            <w:r>
              <w:rPr>
                <w:rFonts w:hint="eastAsia"/>
                <w:sz w:val="18"/>
                <w:szCs w:val="18"/>
              </w:rPr>
              <w:t>符合合同要求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缺一岗扣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451"/>
        </w:trPr>
        <w:tc>
          <w:tcPr>
            <w:tcW w:w="56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工作纪律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>
              <w:rPr>
                <w:rFonts w:hint="eastAsia"/>
                <w:sz w:val="18"/>
                <w:szCs w:val="18"/>
              </w:rPr>
              <w:t>、不得无理取闹、诽谤他人、打架斗殴，影响正常工作秩序。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有一人违反扣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431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>
              <w:rPr>
                <w:rFonts w:hint="eastAsia"/>
                <w:sz w:val="18"/>
                <w:szCs w:val="18"/>
              </w:rPr>
              <w:t>、上班时间不得睡觉。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有一人违反扣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431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  <w:r>
              <w:rPr>
                <w:rFonts w:hint="eastAsia"/>
                <w:sz w:val="18"/>
                <w:szCs w:val="18"/>
              </w:rPr>
              <w:t>、不按规定打点，没有定时巡查。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有一人违反扣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413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  <w:r>
              <w:rPr>
                <w:rFonts w:hint="eastAsia"/>
                <w:sz w:val="18"/>
                <w:szCs w:val="18"/>
              </w:rPr>
              <w:t>、不得迟到、早退。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有一人违反扣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406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  <w:r>
              <w:rPr>
                <w:rFonts w:hint="eastAsia"/>
                <w:sz w:val="18"/>
                <w:szCs w:val="18"/>
              </w:rPr>
              <w:t>、不得擅自离岗、空岗或串岗。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有一人违反扣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766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  <w:r>
              <w:rPr>
                <w:rFonts w:hint="eastAsia"/>
                <w:sz w:val="18"/>
                <w:szCs w:val="18"/>
              </w:rPr>
              <w:t>、上班时间不得在工作区域饮食、</w:t>
            </w:r>
            <w:proofErr w:type="gramStart"/>
            <w:r>
              <w:rPr>
                <w:rFonts w:hint="eastAsia"/>
                <w:sz w:val="18"/>
                <w:szCs w:val="18"/>
              </w:rPr>
              <w:t>嘻笑</w:t>
            </w:r>
            <w:proofErr w:type="gramEnd"/>
            <w:r>
              <w:rPr>
                <w:rFonts w:hint="eastAsia"/>
                <w:sz w:val="18"/>
                <w:szCs w:val="18"/>
              </w:rPr>
              <w:t>打闹、干私活、闲谈、吸烟、听收录机、玩手机、闲聊电话或做其它与工作无关的事情。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有一人违反扣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462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  <w:r>
              <w:rPr>
                <w:rFonts w:hint="eastAsia"/>
                <w:sz w:val="18"/>
                <w:szCs w:val="18"/>
              </w:rPr>
              <w:t>、不得在工作场所随意拿取、翻动他人物品。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有一人违反扣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398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  <w:r>
              <w:rPr>
                <w:rFonts w:hint="eastAsia"/>
                <w:sz w:val="18"/>
                <w:szCs w:val="18"/>
              </w:rPr>
              <w:t>、交接班时须对物品、待办事项等要交接清楚。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有一人违反扣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406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  <w:r>
              <w:rPr>
                <w:rFonts w:hint="eastAsia"/>
                <w:sz w:val="18"/>
                <w:szCs w:val="18"/>
              </w:rPr>
              <w:t>、做好执勤记录，字迹清楚整洁，记录详尽。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违反一次扣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423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  <w:r>
              <w:rPr>
                <w:rFonts w:hint="eastAsia"/>
                <w:sz w:val="18"/>
                <w:szCs w:val="18"/>
              </w:rPr>
              <w:t>、值班时发现问题没有及时登记、汇报、处理的。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一次扣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402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  <w:r>
              <w:rPr>
                <w:rFonts w:hint="eastAsia"/>
                <w:sz w:val="18"/>
                <w:szCs w:val="18"/>
              </w:rPr>
              <w:t>、不按照排班表上班，私自换班。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有一人违反扣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55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行为规范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  <w:r>
              <w:rPr>
                <w:rFonts w:hint="eastAsia"/>
                <w:sz w:val="18"/>
                <w:szCs w:val="18"/>
              </w:rPr>
              <w:t>、因工作人员行为不当，对我单位造成不良舆论影响。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一次扣</w:t>
            </w:r>
            <w:r>
              <w:rPr>
                <w:b/>
                <w:bCs/>
                <w:sz w:val="18"/>
                <w:szCs w:val="18"/>
              </w:rPr>
              <w:t>4</w:t>
            </w:r>
            <w:r>
              <w:rPr>
                <w:rFonts w:hint="eastAsia"/>
                <w:b/>
                <w:bCs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464"/>
        </w:trPr>
        <w:tc>
          <w:tcPr>
            <w:tcW w:w="561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  <w:r>
              <w:rPr>
                <w:rFonts w:hint="eastAsia"/>
                <w:sz w:val="18"/>
                <w:szCs w:val="18"/>
              </w:rPr>
              <w:t>、工作过程中应文明热情、礼貌待人，不得与游客发生争吵。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违反一次扣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489"/>
        </w:trPr>
        <w:tc>
          <w:tcPr>
            <w:tcW w:w="561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  <w:r>
              <w:rPr>
                <w:rFonts w:hint="eastAsia"/>
                <w:sz w:val="18"/>
                <w:szCs w:val="18"/>
              </w:rPr>
              <w:t>、闭馆期间不得私自允许无关人员进入馆内。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有一人违反扣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408"/>
        </w:trPr>
        <w:tc>
          <w:tcPr>
            <w:tcW w:w="561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  <w:r>
              <w:rPr>
                <w:rFonts w:hint="eastAsia"/>
                <w:sz w:val="18"/>
                <w:szCs w:val="18"/>
              </w:rPr>
              <w:t>、不得有意破坏招标方公共物资、设施、装备。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有一人违反扣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415"/>
        </w:trPr>
        <w:tc>
          <w:tcPr>
            <w:tcW w:w="561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  <w:r>
              <w:rPr>
                <w:rFonts w:hint="eastAsia"/>
                <w:sz w:val="18"/>
                <w:szCs w:val="18"/>
              </w:rPr>
              <w:t>、外来车辆未经批准不得放行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有一人违反扣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394"/>
        </w:trPr>
        <w:tc>
          <w:tcPr>
            <w:tcW w:w="561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  <w:r>
              <w:rPr>
                <w:rFonts w:hint="eastAsia"/>
                <w:sz w:val="18"/>
                <w:szCs w:val="18"/>
              </w:rPr>
              <w:t>、需做好岗位卫生管理，保持岗位的干净、整洁。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有一人违反扣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95"/>
        </w:trPr>
        <w:tc>
          <w:tcPr>
            <w:tcW w:w="561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  <w:r>
              <w:rPr>
                <w:rFonts w:hint="eastAsia"/>
                <w:sz w:val="18"/>
                <w:szCs w:val="18"/>
              </w:rPr>
              <w:t>、工作时要姿势端正、着装统一整洁，维护中标方的良好形象。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有一人违反扣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95"/>
        </w:trPr>
        <w:tc>
          <w:tcPr>
            <w:tcW w:w="8474" w:type="dxa"/>
            <w:gridSpan w:val="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755"/>
        </w:trPr>
        <w:tc>
          <w:tcPr>
            <w:tcW w:w="9734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33DEF" w:rsidRDefault="00033DEF" w:rsidP="0014292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其它情况说明：</w:t>
            </w:r>
          </w:p>
        </w:tc>
      </w:tr>
      <w:tr w:rsidR="00033DEF" w:rsidTr="00142921">
        <w:trPr>
          <w:trHeight w:val="1545"/>
        </w:trPr>
        <w:tc>
          <w:tcPr>
            <w:tcW w:w="486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33DEF" w:rsidRDefault="00033DEF" w:rsidP="0014292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考评小组（签名）：</w:t>
            </w:r>
          </w:p>
        </w:tc>
        <w:tc>
          <w:tcPr>
            <w:tcW w:w="486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33DEF" w:rsidRDefault="00033DEF" w:rsidP="0014292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服务单位确认（签名）</w:t>
            </w:r>
          </w:p>
        </w:tc>
      </w:tr>
    </w:tbl>
    <w:p w:rsidR="00033DEF" w:rsidRDefault="00033DEF" w:rsidP="00033DE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3DEF" w:rsidRDefault="00033DEF" w:rsidP="00033DE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3DEF" w:rsidRDefault="00033DEF" w:rsidP="00033DE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3DEF" w:rsidRDefault="00033DEF" w:rsidP="00033DE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3DEF" w:rsidRDefault="00033DEF" w:rsidP="00033DE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3DEF" w:rsidRDefault="00033DEF" w:rsidP="00033DE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3DEF" w:rsidRDefault="00033DEF" w:rsidP="00033DE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3DEF" w:rsidRDefault="00033DEF" w:rsidP="00033DE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3DEF" w:rsidRDefault="00033DEF" w:rsidP="00033DE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3DEF" w:rsidRDefault="00033DEF" w:rsidP="00033DE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3DEF" w:rsidRDefault="00033DEF" w:rsidP="00033DE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3DEF" w:rsidRDefault="00033DEF" w:rsidP="00033DE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3DEF" w:rsidRDefault="00033DEF" w:rsidP="00033DE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3DEF" w:rsidRDefault="00033DEF" w:rsidP="00033DE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3DEF" w:rsidRDefault="00033DEF" w:rsidP="00033DE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3DEF" w:rsidRDefault="00033DEF" w:rsidP="00033DE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3DEF" w:rsidRDefault="00033DEF" w:rsidP="00033DE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3DEF" w:rsidRDefault="00033DEF" w:rsidP="00033DE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3DEF" w:rsidRDefault="00033DEF" w:rsidP="00033DE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3DEF" w:rsidRDefault="00033DEF" w:rsidP="00033DE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3DEF" w:rsidRDefault="00033DEF" w:rsidP="00033DE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3DEF" w:rsidRDefault="00033DEF" w:rsidP="00033DE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3DEF" w:rsidRDefault="00033DEF" w:rsidP="00033DE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3DEF" w:rsidRDefault="00033DEF" w:rsidP="00033DE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3DEF" w:rsidRDefault="00033DEF" w:rsidP="00033DE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3DEF" w:rsidRDefault="00033DEF" w:rsidP="00033DEF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33DEF" w:rsidRDefault="00033DEF" w:rsidP="00033DEF">
      <w:pPr>
        <w:spacing w:line="440" w:lineRule="exact"/>
        <w:jc w:val="left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附件</w:t>
      </w:r>
      <w:r>
        <w:rPr>
          <w:rFonts w:hAnsi="宋体" w:hint="eastAsia"/>
          <w:b/>
          <w:bCs/>
          <w:sz w:val="24"/>
        </w:rPr>
        <w:t>6</w:t>
      </w:r>
    </w:p>
    <w:p w:rsidR="00033DEF" w:rsidRDefault="00033DEF" w:rsidP="00033DEF">
      <w:pPr>
        <w:spacing w:line="360" w:lineRule="auto"/>
        <w:rPr>
          <w:rFonts w:hAnsi="宋体" w:cs="Arial"/>
          <w:b/>
          <w:szCs w:val="21"/>
        </w:rPr>
      </w:pPr>
    </w:p>
    <w:p w:rsidR="00033DEF" w:rsidRDefault="00033DEF" w:rsidP="00033DEF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博物馆安</w:t>
      </w:r>
      <w:proofErr w:type="gramStart"/>
      <w:r>
        <w:rPr>
          <w:rFonts w:hAnsi="宋体" w:hint="eastAsia"/>
          <w:b/>
          <w:sz w:val="28"/>
          <w:szCs w:val="28"/>
        </w:rPr>
        <w:t>防</w:t>
      </w:r>
      <w:r>
        <w:rPr>
          <w:rFonts w:ascii="宋体" w:hAnsi="宋体" w:hint="eastAsia"/>
          <w:b/>
          <w:sz w:val="28"/>
          <w:szCs w:val="28"/>
        </w:rPr>
        <w:t>服务</w:t>
      </w:r>
      <w:proofErr w:type="gramEnd"/>
      <w:r>
        <w:rPr>
          <w:rFonts w:ascii="宋体" w:hAnsi="宋体" w:hint="eastAsia"/>
          <w:b/>
          <w:sz w:val="28"/>
          <w:szCs w:val="28"/>
        </w:rPr>
        <w:t>项目监管考评评分表（月度）</w:t>
      </w:r>
    </w:p>
    <w:p w:rsidR="00033DEF" w:rsidRDefault="00033DEF" w:rsidP="00033DEF">
      <w:pPr>
        <w:jc w:val="left"/>
        <w:rPr>
          <w:rFonts w:ascii="Times New Roman" w:hAnsi="Times New Roman"/>
          <w:sz w:val="18"/>
          <w:szCs w:val="18"/>
        </w:rPr>
      </w:pPr>
      <w:r>
        <w:rPr>
          <w:rFonts w:hint="eastAsia"/>
          <w:sz w:val="18"/>
          <w:szCs w:val="18"/>
        </w:rPr>
        <w:t>考评日期：</w:t>
      </w:r>
      <w:r>
        <w:rPr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>年</w:t>
      </w:r>
      <w:r>
        <w:rPr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>月</w:t>
      </w:r>
      <w:r>
        <w:rPr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日</w:t>
      </w:r>
      <w:r>
        <w:rPr>
          <w:sz w:val="18"/>
          <w:szCs w:val="18"/>
        </w:rPr>
        <w:t xml:space="preserve">                                            </w:t>
      </w:r>
      <w:r>
        <w:rPr>
          <w:rFonts w:hint="eastAsia"/>
          <w:sz w:val="18"/>
          <w:szCs w:val="18"/>
        </w:rPr>
        <w:t>本次得分：</w:t>
      </w:r>
      <w:r>
        <w:rPr>
          <w:sz w:val="18"/>
          <w:szCs w:val="18"/>
        </w:rPr>
        <w:t xml:space="preserve">     </w:t>
      </w:r>
    </w:p>
    <w:tbl>
      <w:tblPr>
        <w:tblW w:w="97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993"/>
        <w:gridCol w:w="3313"/>
        <w:gridCol w:w="656"/>
        <w:gridCol w:w="2951"/>
        <w:gridCol w:w="1260"/>
      </w:tblGrid>
      <w:tr w:rsidR="00033DEF" w:rsidTr="00142921">
        <w:trPr>
          <w:trHeight w:val="530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量化指标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考评项目</w:t>
            </w:r>
          </w:p>
        </w:tc>
        <w:tc>
          <w:tcPr>
            <w:tcW w:w="2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考评标准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扣分</w:t>
            </w:r>
          </w:p>
        </w:tc>
      </w:tr>
      <w:tr w:rsidR="00033DEF" w:rsidTr="00142921">
        <w:trPr>
          <w:trHeight w:val="423"/>
        </w:trPr>
        <w:tc>
          <w:tcPr>
            <w:tcW w:w="56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人员配备</w:t>
            </w:r>
          </w:p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&amp;</w:t>
            </w:r>
          </w:p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在岗数量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  <w:r>
              <w:rPr>
                <w:rFonts w:hint="eastAsia"/>
                <w:sz w:val="18"/>
                <w:szCs w:val="18"/>
              </w:rPr>
              <w:t>、</w:t>
            </w:r>
            <w:proofErr w:type="gramStart"/>
            <w:r>
              <w:rPr>
                <w:rFonts w:hint="eastAsia"/>
                <w:sz w:val="18"/>
                <w:szCs w:val="18"/>
              </w:rPr>
              <w:t>在岗数</w:t>
            </w:r>
            <w:proofErr w:type="gramEnd"/>
            <w:r>
              <w:rPr>
                <w:rFonts w:hint="eastAsia"/>
                <w:sz w:val="18"/>
                <w:szCs w:val="18"/>
              </w:rPr>
              <w:t>符合合同要求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缺一岗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扣2分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3DEF" w:rsidTr="00142921">
        <w:trPr>
          <w:trHeight w:val="646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  <w:r>
              <w:rPr>
                <w:rFonts w:hint="eastAsia"/>
                <w:sz w:val="18"/>
                <w:szCs w:val="18"/>
              </w:rPr>
              <w:t>、按照我单位要求及时更换不能胜任工作的保安员。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一次不配合扣1分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3DEF" w:rsidTr="00142921">
        <w:trPr>
          <w:trHeight w:val="451"/>
        </w:trPr>
        <w:tc>
          <w:tcPr>
            <w:tcW w:w="56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工作纪律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>
              <w:rPr>
                <w:rFonts w:hint="eastAsia"/>
                <w:sz w:val="18"/>
                <w:szCs w:val="18"/>
              </w:rPr>
              <w:t>、不得无理取闹、诽谤他人、打架斗殴，影响正常工作秩序。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有一人违反扣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431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>
              <w:rPr>
                <w:rFonts w:hint="eastAsia"/>
                <w:sz w:val="18"/>
                <w:szCs w:val="18"/>
              </w:rPr>
              <w:t>、上班时间不得睡觉。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有一人违反扣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431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  <w:r>
              <w:rPr>
                <w:rFonts w:hint="eastAsia"/>
                <w:sz w:val="18"/>
                <w:szCs w:val="18"/>
              </w:rPr>
              <w:t>、不按规定打点，没有定时巡查。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有一人违反扣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324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  <w:r>
              <w:rPr>
                <w:rFonts w:hint="eastAsia"/>
                <w:sz w:val="18"/>
                <w:szCs w:val="18"/>
              </w:rPr>
              <w:t>、不得迟到、早退。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有一人违反扣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386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  <w:r>
              <w:rPr>
                <w:rFonts w:hint="eastAsia"/>
                <w:sz w:val="18"/>
                <w:szCs w:val="18"/>
              </w:rPr>
              <w:t>、不得擅自离岗、空岗或串岗。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有一人违反扣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766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  <w:r>
              <w:rPr>
                <w:rFonts w:hint="eastAsia"/>
                <w:sz w:val="18"/>
                <w:szCs w:val="18"/>
              </w:rPr>
              <w:t>、上班时间不得在工作区域饮食、</w:t>
            </w:r>
            <w:proofErr w:type="gramStart"/>
            <w:r>
              <w:rPr>
                <w:rFonts w:hint="eastAsia"/>
                <w:sz w:val="18"/>
                <w:szCs w:val="18"/>
              </w:rPr>
              <w:t>嘻笑</w:t>
            </w:r>
            <w:proofErr w:type="gramEnd"/>
            <w:r>
              <w:rPr>
                <w:rFonts w:hint="eastAsia"/>
                <w:sz w:val="18"/>
                <w:szCs w:val="18"/>
              </w:rPr>
              <w:t>打闹、干私活、闲谈、吸烟、听收录机、玩手机、闲聊电话或做其它与工作无关的事情。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有一人违反扣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462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  <w:r>
              <w:rPr>
                <w:rFonts w:hint="eastAsia"/>
                <w:sz w:val="18"/>
                <w:szCs w:val="18"/>
              </w:rPr>
              <w:t>、不得在工作场所随意拿取、翻动他人物品。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有一人违反扣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398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  <w:r>
              <w:rPr>
                <w:rFonts w:hint="eastAsia"/>
                <w:sz w:val="18"/>
                <w:szCs w:val="18"/>
              </w:rPr>
              <w:t>、交接班时须对物品、待办事项等要交接清楚。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有一人违反扣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406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  <w:r>
              <w:rPr>
                <w:rFonts w:hint="eastAsia"/>
                <w:sz w:val="18"/>
                <w:szCs w:val="18"/>
              </w:rPr>
              <w:t>、做好执勤记录，字迹清楚整洁，记录详尽。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违反一次扣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423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  <w:r>
              <w:rPr>
                <w:rFonts w:hint="eastAsia"/>
                <w:sz w:val="18"/>
                <w:szCs w:val="18"/>
              </w:rPr>
              <w:t>、值班时发现问题没有及时登记、汇报、处理的。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一次扣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402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  <w:r>
              <w:rPr>
                <w:rFonts w:hint="eastAsia"/>
                <w:sz w:val="18"/>
                <w:szCs w:val="18"/>
              </w:rPr>
              <w:t>、不按照排班表上班，私自换班。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有一人违反扣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47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行为规范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  <w:r>
              <w:rPr>
                <w:rFonts w:hint="eastAsia"/>
                <w:sz w:val="18"/>
                <w:szCs w:val="18"/>
              </w:rPr>
              <w:t>、因工作人员行为不当，对我单位造成不良舆论影响。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一次扣</w:t>
            </w:r>
            <w:r>
              <w:rPr>
                <w:b/>
                <w:bCs/>
                <w:sz w:val="18"/>
                <w:szCs w:val="18"/>
              </w:rPr>
              <w:t>4</w:t>
            </w:r>
            <w:r>
              <w:rPr>
                <w:rFonts w:hint="eastAsia"/>
                <w:b/>
                <w:bCs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552"/>
        </w:trPr>
        <w:tc>
          <w:tcPr>
            <w:tcW w:w="561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  <w:r>
              <w:rPr>
                <w:rFonts w:hint="eastAsia"/>
                <w:sz w:val="18"/>
                <w:szCs w:val="18"/>
              </w:rPr>
              <w:t>、工作过程中应文明热情、礼貌待人，不得与游客发生争吵。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违反一次扣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388"/>
        </w:trPr>
        <w:tc>
          <w:tcPr>
            <w:tcW w:w="561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  <w:r>
              <w:rPr>
                <w:rFonts w:hint="eastAsia"/>
                <w:sz w:val="18"/>
                <w:szCs w:val="18"/>
              </w:rPr>
              <w:t>、闭馆期间不得私自允许无关人员进入馆内。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有一人违反扣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95"/>
        </w:trPr>
        <w:tc>
          <w:tcPr>
            <w:tcW w:w="561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  <w:r>
              <w:rPr>
                <w:rFonts w:hint="eastAsia"/>
                <w:sz w:val="18"/>
                <w:szCs w:val="18"/>
              </w:rPr>
              <w:t>、不得有意破坏招标方公共物资、设施、装备。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有一人违反扣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95"/>
        </w:trPr>
        <w:tc>
          <w:tcPr>
            <w:tcW w:w="561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  <w:r>
              <w:rPr>
                <w:rFonts w:hint="eastAsia"/>
                <w:sz w:val="18"/>
                <w:szCs w:val="18"/>
              </w:rPr>
              <w:t>、外来车辆未经批准不得放行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有一人违反扣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95"/>
        </w:trPr>
        <w:tc>
          <w:tcPr>
            <w:tcW w:w="561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  <w:r>
              <w:rPr>
                <w:rFonts w:hint="eastAsia"/>
                <w:sz w:val="18"/>
                <w:szCs w:val="18"/>
              </w:rPr>
              <w:t>、需做好岗位卫生管理，保持岗位的干净、整洁。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有一人违反扣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95"/>
        </w:trPr>
        <w:tc>
          <w:tcPr>
            <w:tcW w:w="561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  <w:r>
              <w:rPr>
                <w:rFonts w:hint="eastAsia"/>
                <w:sz w:val="18"/>
                <w:szCs w:val="18"/>
              </w:rPr>
              <w:t>、工作时要姿势端正、着装统一整洁，维护中标方的良好形象。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有一人违反扣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</w:p>
        </w:tc>
      </w:tr>
      <w:tr w:rsidR="00033DEF" w:rsidTr="00142921">
        <w:trPr>
          <w:trHeight w:val="442"/>
        </w:trPr>
        <w:tc>
          <w:tcPr>
            <w:tcW w:w="56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劳资关系</w:t>
            </w:r>
          </w:p>
          <w:p w:rsidR="00033DEF" w:rsidRDefault="00033DEF" w:rsidP="00142921"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  <w:r>
              <w:rPr>
                <w:rFonts w:hint="eastAsia"/>
                <w:sz w:val="18"/>
                <w:szCs w:val="18"/>
              </w:rPr>
              <w:t>、按时足额发放工资、缴纳五险</w:t>
            </w: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金、购买商业意外险。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违反一次扣10分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33DEF" w:rsidTr="00142921">
        <w:trPr>
          <w:trHeight w:val="95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4.2、违反合同要求的</w:t>
            </w:r>
            <w:r>
              <w:rPr>
                <w:rFonts w:hAnsi="宋体" w:cs="Arial" w:hint="eastAsia"/>
                <w:sz w:val="18"/>
                <w:szCs w:val="18"/>
              </w:rPr>
              <w:t>法律法规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一次扣20分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33DEF" w:rsidTr="00142921">
        <w:trPr>
          <w:trHeight w:val="335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4.3、未处理好劳资纠纷和调解管理纠纷。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一次扣5分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33DEF" w:rsidTr="00142921">
        <w:trPr>
          <w:trHeight w:val="95"/>
        </w:trPr>
        <w:tc>
          <w:tcPr>
            <w:tcW w:w="56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服务责任</w:t>
            </w:r>
          </w:p>
          <w:p w:rsidR="00033DEF" w:rsidRDefault="00033DEF" w:rsidP="00142921"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5.1、未按要求落实安全生产主体责任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一次扣5分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33DEF" w:rsidTr="00142921">
        <w:trPr>
          <w:trHeight w:val="95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5.2、因中标方自身原因导致纠纷扩大或未能减小招标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方相关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损失的。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一次扣5分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33DEF" w:rsidTr="00142921">
        <w:trPr>
          <w:trHeight w:val="95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5.3、因安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防人员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工作失职、故意行为或违法犯罪行为造成招标方经济损失的。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一次扣5分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33DEF" w:rsidTr="00142921">
        <w:trPr>
          <w:trHeight w:val="95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5.6、法定假期内未做好人员增加方案及相应的车辆安排的。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一次扣5分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3DEF" w:rsidTr="00142921">
        <w:trPr>
          <w:trHeight w:val="95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5.7、未按管理处计划落实宣传、培训、演练等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一次扣5分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3DEF" w:rsidTr="00142921">
        <w:trPr>
          <w:trHeight w:val="95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5.8、未落实管理处根据工作需要提出的其他合理管理要求。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一次扣5分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3DEF" w:rsidTr="00142921">
        <w:trPr>
          <w:trHeight w:val="95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5.9、中标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方项目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负责人每月必须参加公园一次检查和月例会。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ind w:firstLineChars="200" w:firstLine="36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缺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一次扣10分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3DEF" w:rsidTr="00142921">
        <w:trPr>
          <w:trHeight w:val="95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5.10、中标方未按招标方要求配合做好培训和演练的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一次扣5分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3DEF" w:rsidTr="00142921">
        <w:trPr>
          <w:trHeight w:val="95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5.11、中标方未按招标方要求配合做好联防联动的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一次扣5分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3DEF" w:rsidTr="00142921">
        <w:trPr>
          <w:trHeight w:val="95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5.12　法定假期内未做好应急方案的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一次扣5分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3DEF" w:rsidTr="00142921">
        <w:trPr>
          <w:trHeight w:val="95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5.13、有效游客投诉。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一次扣5分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3DEF" w:rsidTr="00142921">
        <w:trPr>
          <w:trHeight w:val="393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5.14、发现隐患未及时整改的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一次扣5分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3DEF" w:rsidTr="00142921">
        <w:trPr>
          <w:trHeight w:val="95"/>
        </w:trPr>
        <w:tc>
          <w:tcPr>
            <w:tcW w:w="56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</w:t>
            </w:r>
            <w:proofErr w:type="gramStart"/>
            <w:r>
              <w:rPr>
                <w:rFonts w:hint="eastAsia"/>
                <w:sz w:val="18"/>
                <w:szCs w:val="18"/>
              </w:rPr>
              <w:t>账建设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6.1、未按招标方要求做好安全生产台账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一次扣5分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3DEF" w:rsidTr="00142921">
        <w:trPr>
          <w:trHeight w:val="95"/>
        </w:trPr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widowControl/>
              <w:spacing w:line="38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6.2、未做好人事档案的管理服务；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tabs>
                <w:tab w:val="left" w:pos="1560"/>
                <w:tab w:val="left" w:pos="1620"/>
              </w:tabs>
              <w:spacing w:before="30" w:line="380" w:lineRule="exact"/>
              <w:jc w:val="left"/>
              <w:rPr>
                <w:rFonts w:ascii="Times New Roman" w:hAnsi="宋体" w:cs="Arial"/>
                <w:b/>
                <w:sz w:val="18"/>
                <w:szCs w:val="18"/>
              </w:rPr>
            </w:pPr>
            <w:r>
              <w:rPr>
                <w:rFonts w:hAnsi="宋体" w:cs="Arial" w:hint="eastAsia"/>
                <w:sz w:val="18"/>
                <w:szCs w:val="18"/>
              </w:rPr>
              <w:t>一次扣</w:t>
            </w:r>
            <w:r>
              <w:rPr>
                <w:rFonts w:hAnsi="宋体" w:cs="Arial"/>
                <w:sz w:val="18"/>
                <w:szCs w:val="18"/>
              </w:rPr>
              <w:t>5</w:t>
            </w:r>
            <w:r>
              <w:rPr>
                <w:rFonts w:hAnsi="宋体" w:cs="Arial" w:hint="eastAsia"/>
                <w:sz w:val="18"/>
                <w:szCs w:val="18"/>
              </w:rPr>
              <w:t>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rFonts w:hAnsi="Times New Roman"/>
                <w:sz w:val="18"/>
                <w:szCs w:val="18"/>
              </w:rPr>
            </w:pPr>
          </w:p>
        </w:tc>
      </w:tr>
      <w:tr w:rsidR="00033DEF" w:rsidTr="00142921">
        <w:trPr>
          <w:trHeight w:val="95"/>
        </w:trPr>
        <w:tc>
          <w:tcPr>
            <w:tcW w:w="847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DEF" w:rsidRDefault="00033DEF" w:rsidP="00142921">
            <w:pPr>
              <w:tabs>
                <w:tab w:val="left" w:pos="1560"/>
                <w:tab w:val="left" w:pos="1620"/>
              </w:tabs>
              <w:spacing w:before="30" w:line="380" w:lineRule="exact"/>
              <w:jc w:val="left"/>
              <w:rPr>
                <w:rFonts w:hAnsi="宋体" w:cs="Arial"/>
                <w:sz w:val="18"/>
                <w:szCs w:val="18"/>
              </w:rPr>
            </w:pPr>
            <w:r>
              <w:rPr>
                <w:rFonts w:hAnsi="宋体" w:cs="Arial" w:hint="eastAsia"/>
                <w:sz w:val="18"/>
                <w:szCs w:val="18"/>
              </w:rPr>
              <w:t>合计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3DEF" w:rsidRDefault="00033DEF" w:rsidP="00142921">
            <w:pPr>
              <w:jc w:val="center"/>
              <w:rPr>
                <w:rFonts w:hAnsi="Times New Roman"/>
                <w:sz w:val="18"/>
                <w:szCs w:val="18"/>
              </w:rPr>
            </w:pPr>
          </w:p>
        </w:tc>
      </w:tr>
      <w:tr w:rsidR="00033DEF" w:rsidTr="00142921">
        <w:trPr>
          <w:trHeight w:val="836"/>
        </w:trPr>
        <w:tc>
          <w:tcPr>
            <w:tcW w:w="9734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33DEF" w:rsidRDefault="00033DEF" w:rsidP="0014292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其它情况说明：</w:t>
            </w:r>
          </w:p>
        </w:tc>
      </w:tr>
      <w:tr w:rsidR="00033DEF" w:rsidTr="00142921">
        <w:trPr>
          <w:trHeight w:val="1239"/>
        </w:trPr>
        <w:tc>
          <w:tcPr>
            <w:tcW w:w="486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33DEF" w:rsidRDefault="00033DEF" w:rsidP="00142921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考评小组（签名）：</w:t>
            </w:r>
          </w:p>
        </w:tc>
        <w:tc>
          <w:tcPr>
            <w:tcW w:w="486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33DEF" w:rsidRDefault="00033DEF" w:rsidP="0014292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服务单位确认（签名）</w:t>
            </w:r>
          </w:p>
        </w:tc>
      </w:tr>
    </w:tbl>
    <w:p w:rsidR="00033DEF" w:rsidRDefault="00033DEF" w:rsidP="00033DEF"/>
    <w:p w:rsidR="00591813" w:rsidRPr="00033DEF" w:rsidRDefault="00591813">
      <w:bookmarkStart w:id="0" w:name="_GoBack"/>
      <w:bookmarkEnd w:id="0"/>
    </w:p>
    <w:sectPr w:rsidR="00591813" w:rsidRPr="00033DEF" w:rsidSect="00687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656" w:rsidRDefault="00912656" w:rsidP="00033DEF">
      <w:r>
        <w:separator/>
      </w:r>
    </w:p>
  </w:endnote>
  <w:endnote w:type="continuationSeparator" w:id="0">
    <w:p w:rsidR="00912656" w:rsidRDefault="00912656" w:rsidP="0003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656" w:rsidRDefault="00912656" w:rsidP="00033DEF">
      <w:r>
        <w:separator/>
      </w:r>
    </w:p>
  </w:footnote>
  <w:footnote w:type="continuationSeparator" w:id="0">
    <w:p w:rsidR="00912656" w:rsidRDefault="00912656" w:rsidP="00033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E1797"/>
    <w:multiLevelType w:val="singleLevel"/>
    <w:tmpl w:val="5C0E1797"/>
    <w:lvl w:ilvl="0">
      <w:start w:val="1"/>
      <w:numFmt w:val="chineseCounting"/>
      <w:suff w:val="nothing"/>
      <w:lvlText w:val="第%1条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72"/>
    <w:rsid w:val="00033DEF"/>
    <w:rsid w:val="00591813"/>
    <w:rsid w:val="00912656"/>
    <w:rsid w:val="00B3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E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3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3D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3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3D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E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3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3D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3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3D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568</Words>
  <Characters>3239</Characters>
  <Application>Microsoft Office Word</Application>
  <DocSecurity>0</DocSecurity>
  <Lines>26</Lines>
  <Paragraphs>7</Paragraphs>
  <ScaleCrop>false</ScaleCrop>
  <Company>Microsoft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2</cp:revision>
  <dcterms:created xsi:type="dcterms:W3CDTF">2020-02-14T10:35:00Z</dcterms:created>
  <dcterms:modified xsi:type="dcterms:W3CDTF">2020-02-14T10:35:00Z</dcterms:modified>
</cp:coreProperties>
</file>