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A4" w:rsidRPr="008F0AB7" w:rsidRDefault="001740A4" w:rsidP="001740A4">
      <w:pPr>
        <w:spacing w:line="600" w:lineRule="exact"/>
        <w:jc w:val="left"/>
        <w:outlineLvl w:val="1"/>
        <w:rPr>
          <w:rFonts w:ascii="黑体" w:eastAsia="黑体" w:hAnsi="黑体" w:cs="Times New Roman"/>
          <w:color w:val="000000" w:themeColor="text1"/>
          <w:sz w:val="32"/>
          <w:szCs w:val="32"/>
        </w:rPr>
      </w:pPr>
      <w:bookmarkStart w:id="0" w:name="_Toc480994059"/>
      <w:r w:rsidRPr="008F0AB7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附表1：2017住房建设计划总体安排情况表</w:t>
      </w:r>
      <w:bookmarkEnd w:id="0"/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3106"/>
        <w:gridCol w:w="1965"/>
        <w:gridCol w:w="34"/>
        <w:gridCol w:w="1857"/>
        <w:gridCol w:w="1566"/>
      </w:tblGrid>
      <w:tr w:rsidR="001740A4" w:rsidRPr="008F0AB7" w:rsidTr="003761BA">
        <w:trPr>
          <w:trHeight w:val="697"/>
        </w:trPr>
        <w:tc>
          <w:tcPr>
            <w:tcW w:w="5000" w:type="pct"/>
            <w:gridSpan w:val="5"/>
            <w:shd w:val="clear" w:color="auto" w:fill="BFBFBF" w:themeFill="background1" w:themeFillShade="BF"/>
            <w:noWrap/>
            <w:vAlign w:val="center"/>
            <w:hideMark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="华文仿宋" w:eastAsia="华文仿宋" w:hAnsi="华文仿宋"/>
                <w:b/>
                <w:color w:val="000000"/>
              </w:rPr>
            </w:pPr>
            <w:r w:rsidRPr="008F0AB7">
              <w:rPr>
                <w:rFonts w:ascii="华文仿宋" w:eastAsia="华文仿宋" w:hAnsi="华文仿宋"/>
                <w:b/>
              </w:rPr>
              <w:br w:type="page"/>
            </w:r>
            <w:r w:rsidRPr="008F0AB7">
              <w:rPr>
                <w:rFonts w:ascii="华文仿宋" w:eastAsia="华文仿宋" w:hAnsi="华文仿宋"/>
                <w:b/>
              </w:rPr>
              <w:br w:type="page"/>
            </w:r>
            <w:r w:rsidRPr="008F0AB7">
              <w:rPr>
                <w:rFonts w:ascii="华文仿宋" w:eastAsia="华文仿宋" w:hAnsi="华文仿宋" w:cs="Times New Roman" w:hint="eastAsia"/>
                <w:b/>
                <w:color w:val="000000"/>
                <w:kern w:val="24"/>
              </w:rPr>
              <w:t>商品住房计划安排</w:t>
            </w:r>
          </w:p>
        </w:tc>
      </w:tr>
      <w:tr w:rsidR="001740A4" w:rsidRPr="008F0AB7" w:rsidTr="003761BA">
        <w:trPr>
          <w:trHeight w:val="1203"/>
        </w:trPr>
        <w:tc>
          <w:tcPr>
            <w:tcW w:w="1821" w:type="pct"/>
            <w:noWrap/>
            <w:vAlign w:val="center"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1172" w:type="pct"/>
            <w:gridSpan w:val="2"/>
            <w:noWrap/>
            <w:vAlign w:val="center"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sz w:val="24"/>
                <w:szCs w:val="24"/>
              </w:rPr>
              <w:t>用地面积</w:t>
            </w:r>
          </w:p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sz w:val="24"/>
                <w:szCs w:val="24"/>
              </w:rPr>
              <w:t>（公顷）</w:t>
            </w:r>
          </w:p>
        </w:tc>
        <w:tc>
          <w:tcPr>
            <w:tcW w:w="1089" w:type="pct"/>
            <w:noWrap/>
            <w:vAlign w:val="center"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sz w:val="24"/>
                <w:szCs w:val="24"/>
              </w:rPr>
              <w:t>建筑面积</w:t>
            </w:r>
          </w:p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sz w:val="24"/>
                <w:szCs w:val="24"/>
              </w:rPr>
              <w:t>（</w:t>
            </w:r>
            <w:proofErr w:type="gramStart"/>
            <w:r w:rsidRPr="008F0AB7">
              <w:rPr>
                <w:rFonts w:ascii="华文仿宋" w:eastAsia="华文仿宋" w:hAnsi="华文仿宋" w:cs="宋体" w:hint="eastAsia"/>
                <w:b/>
                <w:color w:val="000000"/>
                <w:sz w:val="24"/>
                <w:szCs w:val="24"/>
              </w:rPr>
              <w:t>万平方米</w:t>
            </w:r>
            <w:proofErr w:type="gramEnd"/>
            <w:r w:rsidRPr="008F0AB7">
              <w:rPr>
                <w:rFonts w:ascii="华文仿宋" w:eastAsia="华文仿宋" w:hAnsi="华文仿宋" w:cs="宋体"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18" w:type="pct"/>
            <w:vAlign w:val="center"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sz w:val="24"/>
                <w:szCs w:val="24"/>
              </w:rPr>
              <w:t>计划</w:t>
            </w:r>
            <w:r w:rsidRPr="008F0AB7">
              <w:rPr>
                <w:rFonts w:ascii="华文仿宋" w:eastAsia="华文仿宋" w:hAnsi="华文仿宋" w:cs="宋体"/>
                <w:b/>
                <w:color w:val="000000"/>
                <w:sz w:val="24"/>
                <w:szCs w:val="24"/>
              </w:rPr>
              <w:t>套数</w:t>
            </w:r>
          </w:p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sz w:val="24"/>
                <w:szCs w:val="24"/>
              </w:rPr>
              <w:t>（万套）</w:t>
            </w:r>
          </w:p>
        </w:tc>
      </w:tr>
      <w:tr w:rsidR="001740A4" w:rsidRPr="008F0AB7" w:rsidTr="003761BA">
        <w:trPr>
          <w:trHeight w:val="985"/>
        </w:trPr>
        <w:tc>
          <w:tcPr>
            <w:tcW w:w="1821" w:type="pct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b/>
                <w:color w:val="000000"/>
                <w:sz w:val="21"/>
                <w:szCs w:val="21"/>
              </w:rPr>
              <w:t>新供应用地建设</w:t>
            </w:r>
          </w:p>
        </w:tc>
        <w:tc>
          <w:tcPr>
            <w:tcW w:w="1152" w:type="pct"/>
            <w:noWrap/>
            <w:vAlign w:val="center"/>
          </w:tcPr>
          <w:p w:rsidR="001740A4" w:rsidRPr="008F0AB7" w:rsidDel="00DB4353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 w:hint="eastAsia"/>
                <w:color w:val="000000"/>
                <w:kern w:val="24"/>
                <w:sz w:val="21"/>
                <w:szCs w:val="21"/>
              </w:rPr>
              <w:t>7</w:t>
            </w:r>
          </w:p>
        </w:tc>
        <w:tc>
          <w:tcPr>
            <w:tcW w:w="1109" w:type="pct"/>
            <w:gridSpan w:val="2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  <w:t>45</w:t>
            </w:r>
          </w:p>
        </w:tc>
        <w:tc>
          <w:tcPr>
            <w:tcW w:w="918" w:type="pct"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  <w:t>0.5</w:t>
            </w:r>
          </w:p>
        </w:tc>
      </w:tr>
      <w:tr w:rsidR="001740A4" w:rsidRPr="008F0AB7" w:rsidTr="003761BA">
        <w:trPr>
          <w:trHeight w:val="985"/>
        </w:trPr>
        <w:tc>
          <w:tcPr>
            <w:tcW w:w="1821" w:type="pct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b/>
                <w:color w:val="000000"/>
                <w:sz w:val="21"/>
                <w:szCs w:val="21"/>
              </w:rPr>
              <w:t>城市更新用地建设</w:t>
            </w:r>
          </w:p>
        </w:tc>
        <w:tc>
          <w:tcPr>
            <w:tcW w:w="1152" w:type="pct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 w:hint="eastAsia"/>
                <w:color w:val="000000"/>
                <w:kern w:val="24"/>
                <w:sz w:val="21"/>
                <w:szCs w:val="21"/>
              </w:rPr>
              <w:t>75</w:t>
            </w:r>
          </w:p>
        </w:tc>
        <w:tc>
          <w:tcPr>
            <w:tcW w:w="1109" w:type="pct"/>
            <w:gridSpan w:val="2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  <w:t>360</w:t>
            </w:r>
          </w:p>
        </w:tc>
        <w:tc>
          <w:tcPr>
            <w:tcW w:w="918" w:type="pct"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  <w:t>4</w:t>
            </w:r>
          </w:p>
        </w:tc>
      </w:tr>
      <w:tr w:rsidR="001740A4" w:rsidRPr="008F0AB7" w:rsidTr="003761BA">
        <w:trPr>
          <w:trHeight w:val="985"/>
        </w:trPr>
        <w:tc>
          <w:tcPr>
            <w:tcW w:w="1821" w:type="pct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b/>
                <w:color w:val="000000"/>
                <w:sz w:val="21"/>
                <w:szCs w:val="21"/>
              </w:rPr>
              <w:t>征地返还用地建设</w:t>
            </w:r>
          </w:p>
        </w:tc>
        <w:tc>
          <w:tcPr>
            <w:tcW w:w="1152" w:type="pct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 w:hint="eastAsia"/>
                <w:color w:val="000000"/>
                <w:kern w:val="24"/>
                <w:sz w:val="21"/>
                <w:szCs w:val="21"/>
              </w:rPr>
              <w:t>86</w:t>
            </w:r>
          </w:p>
        </w:tc>
        <w:tc>
          <w:tcPr>
            <w:tcW w:w="1109" w:type="pct"/>
            <w:gridSpan w:val="2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 w:hint="eastAsia"/>
                <w:color w:val="000000"/>
                <w:kern w:val="24"/>
                <w:sz w:val="21"/>
                <w:szCs w:val="21"/>
              </w:rPr>
              <w:t>315</w:t>
            </w:r>
          </w:p>
        </w:tc>
        <w:tc>
          <w:tcPr>
            <w:tcW w:w="918" w:type="pct"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  <w:t>3</w:t>
            </w:r>
            <w:r w:rsidRPr="008F0AB7">
              <w:rPr>
                <w:rFonts w:asciiTheme="majorEastAsia" w:eastAsiaTheme="majorEastAsia" w:hAnsiTheme="majorEastAsia" w:cs="Times New Roman" w:hint="eastAsia"/>
                <w:color w:val="000000"/>
                <w:kern w:val="24"/>
                <w:sz w:val="21"/>
                <w:szCs w:val="21"/>
              </w:rPr>
              <w:t>.5</w:t>
            </w:r>
          </w:p>
        </w:tc>
      </w:tr>
      <w:tr w:rsidR="001740A4" w:rsidRPr="008F0AB7" w:rsidTr="003761BA">
        <w:trPr>
          <w:trHeight w:val="985"/>
        </w:trPr>
        <w:tc>
          <w:tcPr>
            <w:tcW w:w="1821" w:type="pct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b/>
                <w:color w:val="000000"/>
                <w:sz w:val="21"/>
                <w:szCs w:val="21"/>
              </w:rPr>
              <w:t>总计</w:t>
            </w:r>
          </w:p>
        </w:tc>
        <w:tc>
          <w:tcPr>
            <w:tcW w:w="1152" w:type="pct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24"/>
                <w:sz w:val="21"/>
                <w:szCs w:val="21"/>
              </w:rPr>
              <w:t>168</w:t>
            </w:r>
          </w:p>
        </w:tc>
        <w:tc>
          <w:tcPr>
            <w:tcW w:w="1109" w:type="pct"/>
            <w:gridSpan w:val="2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24"/>
                <w:sz w:val="21"/>
                <w:szCs w:val="21"/>
              </w:rPr>
              <w:t>720</w:t>
            </w:r>
          </w:p>
        </w:tc>
        <w:tc>
          <w:tcPr>
            <w:tcW w:w="918" w:type="pct"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24"/>
                <w:sz w:val="21"/>
                <w:szCs w:val="21"/>
              </w:rPr>
              <w:t>8</w:t>
            </w:r>
          </w:p>
        </w:tc>
      </w:tr>
      <w:tr w:rsidR="001740A4" w:rsidRPr="008F0AB7" w:rsidTr="003761BA">
        <w:trPr>
          <w:trHeight w:val="843"/>
        </w:trPr>
        <w:tc>
          <w:tcPr>
            <w:tcW w:w="5000" w:type="pct"/>
            <w:gridSpan w:val="5"/>
            <w:shd w:val="clear" w:color="auto" w:fill="BFBFBF" w:themeFill="background1" w:themeFillShade="BF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="华文仿宋" w:eastAsia="华文仿宋" w:hAnsi="华文仿宋" w:cs="Times New Roman"/>
                <w:b/>
                <w:color w:val="000000"/>
                <w:kern w:val="24"/>
              </w:rPr>
            </w:pPr>
            <w:r w:rsidRPr="008F0AB7">
              <w:rPr>
                <w:rFonts w:ascii="华文仿宋" w:eastAsia="华文仿宋" w:hAnsi="华文仿宋" w:cs="Times New Roman" w:hint="eastAsia"/>
                <w:b/>
                <w:color w:val="000000"/>
                <w:kern w:val="24"/>
              </w:rPr>
              <w:t>人才住房和保障性住房建设计划安排</w:t>
            </w:r>
          </w:p>
        </w:tc>
      </w:tr>
      <w:tr w:rsidR="001740A4" w:rsidRPr="008F0AB7" w:rsidTr="003761BA">
        <w:trPr>
          <w:trHeight w:val="985"/>
        </w:trPr>
        <w:tc>
          <w:tcPr>
            <w:tcW w:w="1821" w:type="pct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b/>
                <w:color w:val="000000"/>
                <w:sz w:val="21"/>
                <w:szCs w:val="21"/>
              </w:rPr>
              <w:t>新供应用地建设</w:t>
            </w:r>
          </w:p>
        </w:tc>
        <w:tc>
          <w:tcPr>
            <w:tcW w:w="1172" w:type="pct"/>
            <w:gridSpan w:val="2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Arial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 w:hint="eastAsia"/>
                <w:color w:val="000000"/>
                <w:kern w:val="24"/>
                <w:sz w:val="21"/>
                <w:szCs w:val="21"/>
              </w:rPr>
              <w:t>25</w:t>
            </w:r>
          </w:p>
        </w:tc>
        <w:tc>
          <w:tcPr>
            <w:tcW w:w="1089" w:type="pct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  <w:t>90</w:t>
            </w:r>
          </w:p>
        </w:tc>
        <w:tc>
          <w:tcPr>
            <w:tcW w:w="918" w:type="pct"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  <w:t>1.5</w:t>
            </w:r>
          </w:p>
        </w:tc>
      </w:tr>
      <w:tr w:rsidR="001740A4" w:rsidRPr="008F0AB7" w:rsidTr="003761BA">
        <w:trPr>
          <w:trHeight w:val="985"/>
        </w:trPr>
        <w:tc>
          <w:tcPr>
            <w:tcW w:w="1821" w:type="pct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b/>
                <w:color w:val="000000"/>
                <w:sz w:val="21"/>
                <w:szCs w:val="21"/>
              </w:rPr>
              <w:t>城市更新用地建设</w:t>
            </w:r>
          </w:p>
        </w:tc>
        <w:tc>
          <w:tcPr>
            <w:tcW w:w="1172" w:type="pct"/>
            <w:gridSpan w:val="2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 w:hint="eastAsia"/>
                <w:color w:val="000000"/>
                <w:kern w:val="24"/>
                <w:sz w:val="21"/>
                <w:szCs w:val="21"/>
              </w:rPr>
              <w:t>2</w:t>
            </w:r>
            <w:r w:rsidRPr="008F0AB7"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  <w:t>5</w:t>
            </w:r>
          </w:p>
          <w:p w:rsidR="001740A4" w:rsidRPr="00BF4B4D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BF4B4D">
              <w:rPr>
                <w:rFonts w:asciiTheme="majorEastAsia" w:eastAsiaTheme="majorEastAsia" w:hAnsiTheme="majorEastAsia" w:cs="Times New Roman" w:hint="eastAsia"/>
                <w:color w:val="000000"/>
                <w:kern w:val="24"/>
                <w:sz w:val="18"/>
                <w:szCs w:val="18"/>
              </w:rPr>
              <w:t>（折合配建用地面积）</w:t>
            </w:r>
          </w:p>
        </w:tc>
        <w:tc>
          <w:tcPr>
            <w:tcW w:w="1089" w:type="pct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 w:hint="eastAsia"/>
                <w:color w:val="000000"/>
                <w:kern w:val="24"/>
                <w:sz w:val="21"/>
                <w:szCs w:val="21"/>
              </w:rPr>
              <w:t>115</w:t>
            </w:r>
          </w:p>
        </w:tc>
        <w:tc>
          <w:tcPr>
            <w:tcW w:w="918" w:type="pct"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  <w:t>2.3</w:t>
            </w:r>
          </w:p>
        </w:tc>
      </w:tr>
      <w:tr w:rsidR="001740A4" w:rsidRPr="008F0AB7" w:rsidTr="003761BA">
        <w:trPr>
          <w:trHeight w:val="985"/>
        </w:trPr>
        <w:tc>
          <w:tcPr>
            <w:tcW w:w="1821" w:type="pct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b/>
                <w:color w:val="000000"/>
                <w:sz w:val="21"/>
                <w:szCs w:val="21"/>
              </w:rPr>
              <w:t>产业配套住房</w:t>
            </w:r>
          </w:p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b/>
                <w:color w:val="000000"/>
                <w:sz w:val="21"/>
                <w:szCs w:val="21"/>
              </w:rPr>
              <w:t>用地建设</w:t>
            </w:r>
          </w:p>
        </w:tc>
        <w:tc>
          <w:tcPr>
            <w:tcW w:w="1172" w:type="pct"/>
            <w:gridSpan w:val="2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Arial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 w:hint="eastAsia"/>
                <w:color w:val="000000"/>
                <w:kern w:val="24"/>
                <w:sz w:val="21"/>
                <w:szCs w:val="21"/>
              </w:rPr>
              <w:t>15</w:t>
            </w:r>
          </w:p>
        </w:tc>
        <w:tc>
          <w:tcPr>
            <w:tcW w:w="1089" w:type="pct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  <w:t>72</w:t>
            </w:r>
          </w:p>
        </w:tc>
        <w:tc>
          <w:tcPr>
            <w:tcW w:w="918" w:type="pct"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/>
                <w:color w:val="000000"/>
                <w:kern w:val="24"/>
                <w:sz w:val="21"/>
                <w:szCs w:val="21"/>
              </w:rPr>
              <w:t>1.2</w:t>
            </w:r>
          </w:p>
        </w:tc>
      </w:tr>
      <w:tr w:rsidR="001740A4" w:rsidRPr="008F0AB7" w:rsidTr="003761BA">
        <w:trPr>
          <w:trHeight w:val="985"/>
        </w:trPr>
        <w:tc>
          <w:tcPr>
            <w:tcW w:w="1821" w:type="pct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b/>
                <w:color w:val="000000"/>
                <w:sz w:val="21"/>
                <w:szCs w:val="21"/>
              </w:rPr>
              <w:t>总计</w:t>
            </w:r>
          </w:p>
        </w:tc>
        <w:tc>
          <w:tcPr>
            <w:tcW w:w="1172" w:type="pct"/>
            <w:gridSpan w:val="2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Arial"/>
                <w:b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24"/>
                <w:sz w:val="21"/>
                <w:szCs w:val="21"/>
              </w:rPr>
              <w:t>65</w:t>
            </w:r>
          </w:p>
        </w:tc>
        <w:tc>
          <w:tcPr>
            <w:tcW w:w="1089" w:type="pct"/>
            <w:noWrap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exact"/>
              <w:jc w:val="center"/>
              <w:textAlignment w:val="baseline"/>
              <w:rPr>
                <w:rFonts w:asciiTheme="majorEastAsia" w:eastAsiaTheme="majorEastAsia" w:hAnsiTheme="majorEastAsia" w:cs="Arial"/>
                <w:b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24"/>
                <w:sz w:val="21"/>
                <w:szCs w:val="21"/>
              </w:rPr>
              <w:t>277</w:t>
            </w:r>
          </w:p>
        </w:tc>
        <w:tc>
          <w:tcPr>
            <w:tcW w:w="918" w:type="pct"/>
            <w:vAlign w:val="center"/>
          </w:tcPr>
          <w:p w:rsidR="001740A4" w:rsidRPr="008F0AB7" w:rsidRDefault="001740A4" w:rsidP="003761BA">
            <w:pPr>
              <w:pStyle w:val="a6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ajorEastAsia" w:eastAsiaTheme="majorEastAsia" w:hAnsiTheme="majorEastAsia" w:cs="Arial"/>
                <w:b/>
                <w:sz w:val="21"/>
                <w:szCs w:val="21"/>
              </w:rPr>
            </w:pPr>
            <w:r w:rsidRPr="008F0AB7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24"/>
                <w:sz w:val="21"/>
                <w:szCs w:val="21"/>
              </w:rPr>
              <w:t>5</w:t>
            </w:r>
          </w:p>
        </w:tc>
      </w:tr>
    </w:tbl>
    <w:p w:rsidR="001740A4" w:rsidRPr="008F0AB7" w:rsidRDefault="001740A4" w:rsidP="001740A4">
      <w:pPr>
        <w:spacing w:line="600" w:lineRule="exact"/>
        <w:jc w:val="left"/>
        <w:outlineLvl w:val="1"/>
        <w:rPr>
          <w:rFonts w:ascii="黑体" w:eastAsia="黑体" w:hAnsi="黑体" w:cs="Times New Roman"/>
          <w:sz w:val="32"/>
          <w:szCs w:val="32"/>
        </w:rPr>
        <w:sectPr w:rsidR="001740A4" w:rsidRPr="008F0AB7" w:rsidSect="003761BA">
          <w:headerReference w:type="default" r:id="rId7"/>
          <w:footerReference w:type="default" r:id="rId8"/>
          <w:pgSz w:w="11906" w:h="16838"/>
          <w:pgMar w:top="993" w:right="1797" w:bottom="1440" w:left="1797" w:header="851" w:footer="992" w:gutter="0"/>
          <w:pgNumType w:start="0"/>
          <w:cols w:space="425"/>
          <w:titlePg/>
          <w:docGrid w:type="linesAndChars" w:linePitch="312"/>
        </w:sectPr>
      </w:pPr>
    </w:p>
    <w:p w:rsidR="001740A4" w:rsidRPr="008F0AB7" w:rsidRDefault="001740A4" w:rsidP="001740A4">
      <w:pPr>
        <w:spacing w:line="600" w:lineRule="exact"/>
        <w:jc w:val="left"/>
        <w:outlineLvl w:val="1"/>
        <w:rPr>
          <w:rFonts w:ascii="黑体" w:eastAsia="黑体" w:hAnsi="黑体" w:cs="Times New Roman"/>
          <w:color w:val="FF0000"/>
          <w:sz w:val="32"/>
          <w:szCs w:val="32"/>
        </w:rPr>
      </w:pPr>
      <w:bookmarkStart w:id="1" w:name="_Toc480994060"/>
      <w:r w:rsidRPr="00774208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lastRenderedPageBreak/>
        <w:t>附</w:t>
      </w:r>
      <w:r w:rsidRPr="00774208">
        <w:rPr>
          <w:rFonts w:ascii="黑体" w:eastAsia="黑体" w:hAnsi="黑体" w:cs="Times New Roman" w:hint="eastAsia"/>
          <w:sz w:val="32"/>
          <w:szCs w:val="32"/>
        </w:rPr>
        <w:t>表2：新供应</w:t>
      </w:r>
      <w:proofErr w:type="gramStart"/>
      <w:r w:rsidRPr="00774208">
        <w:rPr>
          <w:rFonts w:ascii="黑体" w:eastAsia="黑体" w:hAnsi="黑体" w:cs="Times New Roman" w:hint="eastAsia"/>
          <w:sz w:val="32"/>
          <w:szCs w:val="32"/>
        </w:rPr>
        <w:t>人才房</w:t>
      </w:r>
      <w:proofErr w:type="gramEnd"/>
      <w:r w:rsidRPr="00774208">
        <w:rPr>
          <w:rFonts w:ascii="黑体" w:eastAsia="黑体" w:hAnsi="黑体" w:cs="Times New Roman" w:hint="eastAsia"/>
          <w:sz w:val="32"/>
          <w:szCs w:val="32"/>
        </w:rPr>
        <w:t>和保障</w:t>
      </w:r>
      <w:r w:rsidR="00310ED7">
        <w:rPr>
          <w:rFonts w:ascii="黑体" w:eastAsia="黑体" w:hAnsi="黑体" w:cs="Times New Roman" w:hint="eastAsia"/>
          <w:sz w:val="32"/>
          <w:szCs w:val="32"/>
        </w:rPr>
        <w:t>性住</w:t>
      </w:r>
      <w:r w:rsidRPr="00774208">
        <w:rPr>
          <w:rFonts w:ascii="黑体" w:eastAsia="黑体" w:hAnsi="黑体" w:cs="Times New Roman" w:hint="eastAsia"/>
          <w:sz w:val="32"/>
          <w:szCs w:val="32"/>
        </w:rPr>
        <w:t>房</w:t>
      </w:r>
      <w:r w:rsidR="00915C59" w:rsidRPr="00774208">
        <w:rPr>
          <w:rFonts w:ascii="黑体" w:eastAsia="黑体" w:hAnsi="黑体" w:cs="Times New Roman" w:hint="eastAsia"/>
          <w:sz w:val="32"/>
          <w:szCs w:val="32"/>
        </w:rPr>
        <w:t>用地</w:t>
      </w:r>
      <w:r w:rsidRPr="00774208">
        <w:rPr>
          <w:rFonts w:ascii="黑体" w:eastAsia="黑体" w:hAnsi="黑体" w:cs="Times New Roman" w:hint="eastAsia"/>
          <w:sz w:val="32"/>
          <w:szCs w:val="32"/>
        </w:rPr>
        <w:t>项目</w:t>
      </w:r>
      <w:r w:rsidR="00915C59" w:rsidRPr="00774208">
        <w:rPr>
          <w:rFonts w:ascii="黑体" w:eastAsia="黑体" w:hAnsi="黑体" w:cs="Times New Roman" w:hint="eastAsia"/>
          <w:sz w:val="32"/>
          <w:szCs w:val="32"/>
        </w:rPr>
        <w:t>预选</w:t>
      </w:r>
      <w:r w:rsidR="000C7775" w:rsidRPr="00774208">
        <w:rPr>
          <w:rFonts w:ascii="黑体" w:eastAsia="黑体" w:hAnsi="黑体" w:cs="Times New Roman" w:hint="eastAsia"/>
          <w:sz w:val="32"/>
          <w:szCs w:val="32"/>
        </w:rPr>
        <w:t>库</w:t>
      </w:r>
      <w:bookmarkEnd w:id="1"/>
      <w:r w:rsidR="00E8363D" w:rsidRPr="00774208">
        <w:rPr>
          <w:rFonts w:ascii="黑体" w:eastAsia="黑体" w:hAnsi="黑体" w:cs="Times New Roman" w:hint="eastAsia"/>
          <w:sz w:val="32"/>
          <w:szCs w:val="32"/>
        </w:rPr>
        <w:t>一览表</w:t>
      </w:r>
    </w:p>
    <w:tbl>
      <w:tblPr>
        <w:tblW w:w="88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1215"/>
        <w:gridCol w:w="2124"/>
        <w:gridCol w:w="2580"/>
        <w:gridCol w:w="1974"/>
      </w:tblGrid>
      <w:tr w:rsidR="001740A4" w:rsidRPr="008F0AB7" w:rsidTr="003761BA">
        <w:trPr>
          <w:trHeight w:val="1558"/>
        </w:trPr>
        <w:tc>
          <w:tcPr>
            <w:tcW w:w="927" w:type="dxa"/>
            <w:shd w:val="clear" w:color="000000" w:fill="BFBFBF"/>
            <w:vAlign w:val="center"/>
          </w:tcPr>
          <w:p w:rsidR="001740A4" w:rsidRPr="008F0AB7" w:rsidRDefault="001740A4" w:rsidP="003761B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shd w:val="clear" w:color="000000" w:fill="BFBFBF"/>
            <w:vAlign w:val="center"/>
          </w:tcPr>
          <w:p w:rsidR="001740A4" w:rsidRPr="008F0AB7" w:rsidRDefault="001740A4" w:rsidP="003761B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2124" w:type="dxa"/>
            <w:shd w:val="clear" w:color="000000" w:fill="BFBFBF"/>
            <w:vAlign w:val="center"/>
          </w:tcPr>
          <w:p w:rsidR="001740A4" w:rsidRPr="008F0AB7" w:rsidRDefault="001740A4" w:rsidP="003761B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地块名称</w:t>
            </w:r>
          </w:p>
        </w:tc>
        <w:tc>
          <w:tcPr>
            <w:tcW w:w="2580" w:type="dxa"/>
            <w:shd w:val="clear" w:color="000000" w:fill="BFBFBF"/>
            <w:vAlign w:val="center"/>
          </w:tcPr>
          <w:p w:rsidR="001740A4" w:rsidRPr="008F0AB7" w:rsidRDefault="001740A4" w:rsidP="003761B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地块位置</w:t>
            </w:r>
          </w:p>
        </w:tc>
        <w:tc>
          <w:tcPr>
            <w:tcW w:w="1974" w:type="dxa"/>
            <w:shd w:val="clear" w:color="000000" w:fill="BFBFBF"/>
            <w:vAlign w:val="center"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用地面积</w:t>
            </w:r>
          </w:p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（公顷）</w:t>
            </w:r>
          </w:p>
        </w:tc>
      </w:tr>
      <w:tr w:rsidR="001740A4" w:rsidRPr="008F0AB7" w:rsidTr="003761BA">
        <w:trPr>
          <w:trHeight w:val="1070"/>
        </w:trPr>
        <w:tc>
          <w:tcPr>
            <w:tcW w:w="927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福田区</w:t>
            </w:r>
            <w:r w:rsidRPr="008F0AB7">
              <w:rPr>
                <w:rFonts w:asciiTheme="minorEastAsia" w:hAnsiTheme="minorEastAsia"/>
                <w:color w:val="000000"/>
                <w:szCs w:val="21"/>
              </w:rPr>
              <w:t xml:space="preserve">　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梅林片区中康变电站地块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梅林街道梅</w:t>
            </w:r>
            <w:proofErr w:type="gramStart"/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坳</w:t>
            </w:r>
            <w:proofErr w:type="gramEnd"/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五路和</w:t>
            </w:r>
            <w:proofErr w:type="gramStart"/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梅坳</w:t>
            </w:r>
            <w:proofErr w:type="gramEnd"/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二路交汇处东南角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0.41</w:t>
            </w:r>
          </w:p>
        </w:tc>
      </w:tr>
      <w:tr w:rsidR="001740A4" w:rsidRPr="008F0AB7" w:rsidTr="003761BA">
        <w:trPr>
          <w:trHeight w:val="1000"/>
        </w:trPr>
        <w:tc>
          <w:tcPr>
            <w:tcW w:w="927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安托山片区法定图则</w:t>
            </w:r>
            <w:r w:rsidRPr="008F0AB7">
              <w:rPr>
                <w:rFonts w:asciiTheme="minorEastAsia" w:hAnsiTheme="minorEastAsia"/>
                <w:color w:val="000000"/>
                <w:szCs w:val="21"/>
              </w:rPr>
              <w:t>13-01</w:t>
            </w: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地块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安托山</w:t>
            </w:r>
            <w:proofErr w:type="gramStart"/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片区侨香三道</w:t>
            </w:r>
            <w:proofErr w:type="gramEnd"/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与安托山六路交汇处西南角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0.71</w:t>
            </w:r>
          </w:p>
        </w:tc>
      </w:tr>
      <w:tr w:rsidR="001740A4" w:rsidRPr="008F0AB7" w:rsidTr="003761BA">
        <w:trPr>
          <w:trHeight w:val="849"/>
        </w:trPr>
        <w:tc>
          <w:tcPr>
            <w:tcW w:w="927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南山区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塘朗</w:t>
            </w:r>
            <w:r w:rsidRPr="008F0AB7">
              <w:rPr>
                <w:rFonts w:asciiTheme="minorEastAsia" w:hAnsiTheme="minorEastAsia"/>
                <w:color w:val="000000"/>
                <w:szCs w:val="21"/>
              </w:rPr>
              <w:t>F</w:t>
            </w: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地块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南山区留仙大道南侧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0.95</w:t>
            </w:r>
          </w:p>
        </w:tc>
      </w:tr>
      <w:tr w:rsidR="001740A4" w:rsidRPr="008F0AB7" w:rsidTr="003761BA">
        <w:trPr>
          <w:trHeight w:val="736"/>
        </w:trPr>
        <w:tc>
          <w:tcPr>
            <w:tcW w:w="927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南山区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高新南地块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高</w:t>
            </w:r>
            <w:proofErr w:type="gramStart"/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新南十一道</w:t>
            </w:r>
            <w:proofErr w:type="gramEnd"/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以北、高新南环路以西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</w:tr>
      <w:tr w:rsidR="001740A4" w:rsidRPr="008F0AB7" w:rsidTr="003761BA">
        <w:trPr>
          <w:trHeight w:val="736"/>
        </w:trPr>
        <w:tc>
          <w:tcPr>
            <w:tcW w:w="927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南山区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高新园地块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高新南六道以南、</w:t>
            </w:r>
            <w:proofErr w:type="gramStart"/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科技南</w:t>
            </w:r>
            <w:proofErr w:type="gramEnd"/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八路以东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0.8</w:t>
            </w:r>
          </w:p>
        </w:tc>
      </w:tr>
      <w:tr w:rsidR="001740A4" w:rsidRPr="008F0AB7" w:rsidTr="003761BA">
        <w:trPr>
          <w:trHeight w:val="736"/>
        </w:trPr>
        <w:tc>
          <w:tcPr>
            <w:tcW w:w="927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南山区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华侨城地块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沙河街道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1.18</w:t>
            </w:r>
          </w:p>
        </w:tc>
      </w:tr>
      <w:tr w:rsidR="001740A4" w:rsidRPr="008F0AB7" w:rsidTr="003761BA">
        <w:trPr>
          <w:trHeight w:val="736"/>
        </w:trPr>
        <w:tc>
          <w:tcPr>
            <w:tcW w:w="927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龙岗区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华为岗头地块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坂</w:t>
            </w:r>
            <w:proofErr w:type="gramEnd"/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田街道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19</w:t>
            </w:r>
          </w:p>
        </w:tc>
      </w:tr>
      <w:tr w:rsidR="001740A4" w:rsidRPr="008F0AB7" w:rsidTr="003761BA">
        <w:trPr>
          <w:trHeight w:val="736"/>
        </w:trPr>
        <w:tc>
          <w:tcPr>
            <w:tcW w:w="927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龙华区</w:t>
            </w:r>
            <w:proofErr w:type="gramEnd"/>
          </w:p>
        </w:tc>
        <w:tc>
          <w:tcPr>
            <w:tcW w:w="2124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梅润地块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大浪街道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3.5</w:t>
            </w:r>
          </w:p>
        </w:tc>
      </w:tr>
      <w:tr w:rsidR="001740A4" w:rsidRPr="008F0AB7" w:rsidTr="003761BA">
        <w:trPr>
          <w:trHeight w:val="736"/>
        </w:trPr>
        <w:tc>
          <w:tcPr>
            <w:tcW w:w="927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宝安区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北车基地上盖地块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松岗街道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6.36</w:t>
            </w:r>
          </w:p>
        </w:tc>
      </w:tr>
      <w:tr w:rsidR="001740A4" w:rsidRPr="008F0AB7" w:rsidTr="003761BA">
        <w:trPr>
          <w:trHeight w:val="736"/>
        </w:trPr>
        <w:tc>
          <w:tcPr>
            <w:tcW w:w="927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光明新区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长</w:t>
            </w:r>
            <w:proofErr w:type="gramStart"/>
            <w:r>
              <w:rPr>
                <w:rFonts w:asciiTheme="minorEastAsia" w:hAnsiTheme="minorEastAsia" w:hint="eastAsia"/>
                <w:color w:val="000000"/>
                <w:szCs w:val="21"/>
              </w:rPr>
              <w:t>圳</w:t>
            </w:r>
            <w:proofErr w:type="gramEnd"/>
            <w:r>
              <w:rPr>
                <w:rFonts w:asciiTheme="minorEastAsia" w:hAnsiTheme="minorEastAsia" w:hint="eastAsia"/>
                <w:color w:val="000000"/>
                <w:szCs w:val="21"/>
              </w:rPr>
              <w:t>车辆段上盖一期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公明办事处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4.6</w:t>
            </w:r>
          </w:p>
        </w:tc>
      </w:tr>
      <w:tr w:rsidR="001740A4" w:rsidRPr="008F0AB7" w:rsidTr="003761BA">
        <w:trPr>
          <w:trHeight w:val="736"/>
        </w:trPr>
        <w:tc>
          <w:tcPr>
            <w:tcW w:w="927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大鹏新区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08-13人才住房项目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地块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="宋体" w:hAnsi="宋体"/>
                <w:sz w:val="20"/>
                <w:szCs w:val="20"/>
              </w:rPr>
            </w:pPr>
            <w:r w:rsidRPr="008F0AB7">
              <w:rPr>
                <w:rFonts w:ascii="宋体" w:hAnsi="宋体" w:hint="eastAsia"/>
                <w:sz w:val="20"/>
                <w:szCs w:val="20"/>
              </w:rPr>
              <w:t>大鹏中心区西南侧，坪西快速路和滨海二路交叉口东北侧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color w:val="000000"/>
                <w:szCs w:val="21"/>
              </w:rPr>
              <w:t>8.5</w:t>
            </w:r>
          </w:p>
        </w:tc>
      </w:tr>
      <w:tr w:rsidR="001740A4" w:rsidRPr="008F0AB7" w:rsidTr="003761BA">
        <w:trPr>
          <w:trHeight w:val="736"/>
        </w:trPr>
        <w:tc>
          <w:tcPr>
            <w:tcW w:w="927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8F0AB7">
              <w:rPr>
                <w:rFonts w:asciiTheme="minorEastAsia" w:hAnsiTheme="minorEastAsia"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47.01</w:t>
            </w:r>
          </w:p>
        </w:tc>
      </w:tr>
    </w:tbl>
    <w:p w:rsidR="001740A4" w:rsidRPr="008F0AB7" w:rsidRDefault="001740A4" w:rsidP="001740A4">
      <w:pPr>
        <w:ind w:firstLineChars="50" w:firstLine="105"/>
        <w:jc w:val="left"/>
        <w:outlineLvl w:val="1"/>
        <w:rPr>
          <w:rFonts w:ascii="仿宋_GB2312" w:eastAsia="仿宋_GB2312"/>
          <w:szCs w:val="21"/>
        </w:rPr>
      </w:pPr>
      <w:bookmarkStart w:id="2" w:name="_Toc480993535"/>
      <w:bookmarkStart w:id="3" w:name="_Toc480994061"/>
      <w:r w:rsidRPr="008F0AB7">
        <w:rPr>
          <w:rFonts w:ascii="仿宋_GB2312" w:eastAsia="仿宋_GB2312" w:hint="eastAsia"/>
          <w:szCs w:val="21"/>
        </w:rPr>
        <w:t>注：以上为2017年度人才住房和保障性住房用地预安排</w:t>
      </w:r>
      <w:r>
        <w:rPr>
          <w:rFonts w:ascii="仿宋_GB2312" w:eastAsia="仿宋_GB2312" w:hint="eastAsia"/>
          <w:szCs w:val="21"/>
        </w:rPr>
        <w:t>项目库</w:t>
      </w:r>
      <w:r w:rsidRPr="008F0AB7">
        <w:rPr>
          <w:rFonts w:ascii="仿宋_GB2312" w:eastAsia="仿宋_GB2312" w:hint="eastAsia"/>
          <w:szCs w:val="21"/>
        </w:rPr>
        <w:t>，具体地块及用地指标以</w:t>
      </w:r>
      <w:r>
        <w:rPr>
          <w:rFonts w:ascii="仿宋_GB2312" w:eastAsia="仿宋_GB2312" w:hint="eastAsia"/>
          <w:szCs w:val="21"/>
        </w:rPr>
        <w:t>市政府最终审批的意见</w:t>
      </w:r>
      <w:r w:rsidRPr="008F0AB7">
        <w:rPr>
          <w:rFonts w:ascii="仿宋_GB2312" w:eastAsia="仿宋_GB2312" w:hint="eastAsia"/>
          <w:szCs w:val="21"/>
        </w:rPr>
        <w:t>为准。</w:t>
      </w:r>
      <w:bookmarkEnd w:id="2"/>
      <w:bookmarkEnd w:id="3"/>
    </w:p>
    <w:p w:rsidR="001740A4" w:rsidRPr="008F0AB7" w:rsidRDefault="001740A4" w:rsidP="001740A4">
      <w:pPr>
        <w:spacing w:line="600" w:lineRule="exact"/>
        <w:jc w:val="left"/>
        <w:outlineLvl w:val="1"/>
        <w:rPr>
          <w:rFonts w:ascii="黑体" w:eastAsia="黑体" w:hAnsi="黑体" w:cs="Times New Roman"/>
          <w:color w:val="000000" w:themeColor="text1"/>
          <w:sz w:val="32"/>
          <w:szCs w:val="32"/>
        </w:rPr>
      </w:pPr>
    </w:p>
    <w:p w:rsidR="00A301FE" w:rsidRDefault="00A301FE" w:rsidP="001740A4">
      <w:pPr>
        <w:spacing w:line="400" w:lineRule="exact"/>
        <w:jc w:val="left"/>
        <w:outlineLvl w:val="1"/>
        <w:rPr>
          <w:rFonts w:ascii="黑体" w:eastAsia="黑体" w:hAnsi="黑体" w:cs="Times New Roman"/>
          <w:sz w:val="32"/>
          <w:szCs w:val="32"/>
        </w:rPr>
      </w:pPr>
      <w:bookmarkStart w:id="4" w:name="_Toc480994062"/>
    </w:p>
    <w:p w:rsidR="001740A4" w:rsidRPr="008F0AB7" w:rsidRDefault="001740A4" w:rsidP="001740A4">
      <w:pPr>
        <w:spacing w:line="400" w:lineRule="exact"/>
        <w:jc w:val="left"/>
        <w:outlineLvl w:val="1"/>
        <w:rPr>
          <w:rFonts w:ascii="黑体" w:eastAsia="黑体" w:hAnsi="黑体" w:cs="Times New Roman"/>
          <w:sz w:val="32"/>
          <w:szCs w:val="32"/>
        </w:rPr>
      </w:pPr>
      <w:r w:rsidRPr="008F0AB7">
        <w:rPr>
          <w:rFonts w:ascii="黑体" w:eastAsia="黑体" w:hAnsi="黑体" w:cs="Times New Roman" w:hint="eastAsia"/>
          <w:sz w:val="32"/>
          <w:szCs w:val="32"/>
        </w:rPr>
        <w:lastRenderedPageBreak/>
        <w:t>附表3：各区城市更新配建</w:t>
      </w:r>
      <w:proofErr w:type="gramStart"/>
      <w:r w:rsidRPr="008F0AB7">
        <w:rPr>
          <w:rFonts w:ascii="黑体" w:eastAsia="黑体" w:hAnsi="黑体" w:cs="Times New Roman" w:hint="eastAsia"/>
          <w:sz w:val="32"/>
          <w:szCs w:val="32"/>
        </w:rPr>
        <w:t>人才房</w:t>
      </w:r>
      <w:proofErr w:type="gramEnd"/>
      <w:r w:rsidRPr="008F0AB7">
        <w:rPr>
          <w:rFonts w:ascii="黑体" w:eastAsia="黑体" w:hAnsi="黑体" w:cs="Times New Roman" w:hint="eastAsia"/>
          <w:sz w:val="32"/>
          <w:szCs w:val="32"/>
        </w:rPr>
        <w:t>和保障性住房任务分配表</w:t>
      </w:r>
      <w:bookmarkEnd w:id="4"/>
    </w:p>
    <w:tbl>
      <w:tblPr>
        <w:tblW w:w="4888" w:type="pct"/>
        <w:jc w:val="center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1482"/>
        <w:gridCol w:w="2041"/>
        <w:gridCol w:w="2040"/>
        <w:gridCol w:w="1671"/>
      </w:tblGrid>
      <w:tr w:rsidR="00E8363D" w:rsidRPr="00E8363D" w:rsidTr="00E8363D">
        <w:trPr>
          <w:trHeight w:val="1599"/>
          <w:tblHeader/>
          <w:jc w:val="center"/>
        </w:trPr>
        <w:tc>
          <w:tcPr>
            <w:tcW w:w="1103" w:type="dxa"/>
            <w:shd w:val="clear" w:color="000000" w:fill="BFBFBF"/>
            <w:vAlign w:val="center"/>
          </w:tcPr>
          <w:p w:rsidR="00E8363D" w:rsidRPr="00E8363D" w:rsidRDefault="00E8363D" w:rsidP="00E8363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8363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2" w:type="dxa"/>
            <w:shd w:val="clear" w:color="000000" w:fill="BFBFBF"/>
            <w:noWrap/>
            <w:vAlign w:val="center"/>
            <w:hideMark/>
          </w:tcPr>
          <w:p w:rsidR="00E8363D" w:rsidRPr="00E8363D" w:rsidRDefault="00E8363D" w:rsidP="00E8363D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8363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2041" w:type="dxa"/>
            <w:shd w:val="clear" w:color="000000" w:fill="BFBFBF"/>
            <w:noWrap/>
            <w:vAlign w:val="center"/>
            <w:hideMark/>
          </w:tcPr>
          <w:p w:rsidR="00E8363D" w:rsidRPr="00E8363D" w:rsidRDefault="00E8363D" w:rsidP="00E8363D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E8363D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用地面积</w:t>
            </w:r>
          </w:p>
          <w:p w:rsidR="00E8363D" w:rsidRPr="00E8363D" w:rsidRDefault="00E8363D" w:rsidP="00E8363D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E8363D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（公顷）</w:t>
            </w:r>
          </w:p>
        </w:tc>
        <w:tc>
          <w:tcPr>
            <w:tcW w:w="2040" w:type="dxa"/>
            <w:shd w:val="clear" w:color="000000" w:fill="BFBFBF"/>
            <w:noWrap/>
            <w:vAlign w:val="center"/>
            <w:hideMark/>
          </w:tcPr>
          <w:p w:rsidR="00E8363D" w:rsidRPr="00E8363D" w:rsidRDefault="00E8363D" w:rsidP="00E8363D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E8363D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建筑面积</w:t>
            </w:r>
          </w:p>
          <w:p w:rsidR="00E8363D" w:rsidRPr="00E8363D" w:rsidRDefault="00E8363D" w:rsidP="00E8363D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E8363D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E8363D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万平方米</w:t>
            </w:r>
            <w:proofErr w:type="gramEnd"/>
            <w:r w:rsidRPr="00E8363D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671" w:type="dxa"/>
            <w:shd w:val="clear" w:color="000000" w:fill="BFBFBF"/>
            <w:vAlign w:val="center"/>
            <w:hideMark/>
          </w:tcPr>
          <w:p w:rsidR="00E8363D" w:rsidRPr="00E8363D" w:rsidRDefault="00E8363D" w:rsidP="00E8363D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E8363D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住房套数</w:t>
            </w:r>
          </w:p>
          <w:p w:rsidR="00E8363D" w:rsidRPr="00E8363D" w:rsidRDefault="00E8363D" w:rsidP="00E8363D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E8363D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（套）</w:t>
            </w:r>
          </w:p>
        </w:tc>
      </w:tr>
      <w:tr w:rsidR="001740A4" w:rsidRPr="008F0AB7" w:rsidTr="00E8363D">
        <w:trPr>
          <w:trHeight w:val="921"/>
          <w:jc w:val="center"/>
        </w:trPr>
        <w:tc>
          <w:tcPr>
            <w:tcW w:w="1103" w:type="dxa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福田区</w:t>
            </w:r>
          </w:p>
        </w:tc>
        <w:tc>
          <w:tcPr>
            <w:tcW w:w="2041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0.95 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F0AB7">
              <w:rPr>
                <w:rFonts w:ascii="Arial" w:hAnsi="Arial" w:cs="Arial"/>
                <w:sz w:val="20"/>
                <w:szCs w:val="20"/>
              </w:rPr>
              <w:t>4.36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871 </w:t>
            </w:r>
          </w:p>
        </w:tc>
      </w:tr>
      <w:tr w:rsidR="001740A4" w:rsidRPr="008F0AB7" w:rsidTr="00E8363D">
        <w:trPr>
          <w:trHeight w:val="921"/>
          <w:jc w:val="center"/>
        </w:trPr>
        <w:tc>
          <w:tcPr>
            <w:tcW w:w="1103" w:type="dxa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罗湖区</w:t>
            </w:r>
          </w:p>
        </w:tc>
        <w:tc>
          <w:tcPr>
            <w:tcW w:w="2041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1.33 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F0AB7"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1220 </w:t>
            </w:r>
          </w:p>
        </w:tc>
      </w:tr>
      <w:tr w:rsidR="001740A4" w:rsidRPr="008F0AB7" w:rsidTr="00E8363D">
        <w:trPr>
          <w:trHeight w:val="921"/>
          <w:jc w:val="center"/>
        </w:trPr>
        <w:tc>
          <w:tcPr>
            <w:tcW w:w="1103" w:type="dxa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南山区</w:t>
            </w:r>
          </w:p>
        </w:tc>
        <w:tc>
          <w:tcPr>
            <w:tcW w:w="2041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1.70 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F0AB7">
              <w:rPr>
                <w:rFonts w:ascii="Arial" w:hAnsi="Arial" w:cs="Arial"/>
                <w:sz w:val="20"/>
                <w:szCs w:val="20"/>
              </w:rPr>
              <w:t>7.84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1568 </w:t>
            </w:r>
          </w:p>
        </w:tc>
      </w:tr>
      <w:tr w:rsidR="001740A4" w:rsidRPr="008F0AB7" w:rsidTr="00E8363D">
        <w:trPr>
          <w:trHeight w:val="921"/>
          <w:jc w:val="center"/>
        </w:trPr>
        <w:tc>
          <w:tcPr>
            <w:tcW w:w="1103" w:type="dxa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盐田区</w:t>
            </w:r>
          </w:p>
        </w:tc>
        <w:tc>
          <w:tcPr>
            <w:tcW w:w="2041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0.76 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F0AB7">
              <w:rPr>
                <w:rFonts w:ascii="Arial" w:hAnsi="Arial" w:cs="Arial"/>
                <w:sz w:val="20"/>
                <w:szCs w:val="20"/>
              </w:rPr>
              <w:t>3.48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697 </w:t>
            </w:r>
          </w:p>
        </w:tc>
      </w:tr>
      <w:tr w:rsidR="001740A4" w:rsidRPr="008F0AB7" w:rsidTr="00E8363D">
        <w:trPr>
          <w:trHeight w:val="921"/>
          <w:jc w:val="center"/>
        </w:trPr>
        <w:tc>
          <w:tcPr>
            <w:tcW w:w="1103" w:type="dxa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宝安区</w:t>
            </w:r>
          </w:p>
        </w:tc>
        <w:tc>
          <w:tcPr>
            <w:tcW w:w="2041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5.30 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F0AB7">
              <w:rPr>
                <w:rFonts w:ascii="Arial" w:hAnsi="Arial" w:cs="Arial"/>
                <w:sz w:val="20"/>
                <w:szCs w:val="20"/>
              </w:rPr>
              <w:t>24.39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4879 </w:t>
            </w:r>
          </w:p>
        </w:tc>
      </w:tr>
      <w:tr w:rsidR="001740A4" w:rsidRPr="008F0AB7" w:rsidTr="00E8363D">
        <w:trPr>
          <w:trHeight w:val="921"/>
          <w:jc w:val="center"/>
        </w:trPr>
        <w:tc>
          <w:tcPr>
            <w:tcW w:w="1103" w:type="dxa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龙岗区</w:t>
            </w:r>
          </w:p>
        </w:tc>
        <w:tc>
          <w:tcPr>
            <w:tcW w:w="2041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8.71 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F0AB7">
              <w:rPr>
                <w:rFonts w:ascii="Arial" w:hAnsi="Arial" w:cs="Arial"/>
                <w:sz w:val="20"/>
                <w:szCs w:val="20"/>
              </w:rPr>
              <w:t>40.08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8015 </w:t>
            </w:r>
          </w:p>
        </w:tc>
      </w:tr>
      <w:tr w:rsidR="001740A4" w:rsidRPr="008F0AB7" w:rsidTr="00E8363D">
        <w:trPr>
          <w:trHeight w:val="921"/>
          <w:jc w:val="center"/>
        </w:trPr>
        <w:tc>
          <w:tcPr>
            <w:tcW w:w="1103" w:type="dxa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光明新区</w:t>
            </w:r>
          </w:p>
        </w:tc>
        <w:tc>
          <w:tcPr>
            <w:tcW w:w="2041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1.52 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F0AB7">
              <w:rPr>
                <w:rFonts w:ascii="Arial" w:hAnsi="Arial" w:cs="Arial"/>
                <w:sz w:val="20"/>
                <w:szCs w:val="20"/>
              </w:rPr>
              <w:t>6.97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1394 </w:t>
            </w:r>
          </w:p>
        </w:tc>
      </w:tr>
      <w:tr w:rsidR="001740A4" w:rsidRPr="008F0AB7" w:rsidTr="00E8363D">
        <w:trPr>
          <w:trHeight w:val="921"/>
          <w:jc w:val="center"/>
        </w:trPr>
        <w:tc>
          <w:tcPr>
            <w:tcW w:w="1103" w:type="dxa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坪山区</w:t>
            </w:r>
            <w:proofErr w:type="gramEnd"/>
          </w:p>
        </w:tc>
        <w:tc>
          <w:tcPr>
            <w:tcW w:w="2041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1.33 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F0AB7"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1220 </w:t>
            </w:r>
          </w:p>
        </w:tc>
      </w:tr>
      <w:tr w:rsidR="001740A4" w:rsidRPr="008F0AB7" w:rsidTr="00E8363D">
        <w:trPr>
          <w:trHeight w:val="921"/>
          <w:jc w:val="center"/>
        </w:trPr>
        <w:tc>
          <w:tcPr>
            <w:tcW w:w="1103" w:type="dxa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龙华区</w:t>
            </w:r>
            <w:proofErr w:type="gramEnd"/>
          </w:p>
        </w:tc>
        <w:tc>
          <w:tcPr>
            <w:tcW w:w="2041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2.84 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F0AB7">
              <w:rPr>
                <w:rFonts w:ascii="Arial" w:hAnsi="Arial" w:cs="Arial"/>
                <w:sz w:val="20"/>
                <w:szCs w:val="20"/>
              </w:rPr>
              <w:t>13.07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2614 </w:t>
            </w:r>
          </w:p>
        </w:tc>
      </w:tr>
      <w:tr w:rsidR="001740A4" w:rsidRPr="008F0AB7" w:rsidTr="00E8363D">
        <w:trPr>
          <w:trHeight w:val="921"/>
          <w:jc w:val="center"/>
        </w:trPr>
        <w:tc>
          <w:tcPr>
            <w:tcW w:w="1103" w:type="dxa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color w:val="000000"/>
                <w:sz w:val="22"/>
              </w:rPr>
              <w:t>大鹏新区</w:t>
            </w:r>
          </w:p>
        </w:tc>
        <w:tc>
          <w:tcPr>
            <w:tcW w:w="2041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0.57 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:rsidR="001740A4" w:rsidRPr="008F0AB7" w:rsidRDefault="001740A4" w:rsidP="003761B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F0AB7">
              <w:rPr>
                <w:rFonts w:ascii="Arial" w:hAnsi="Arial" w:cs="Arial"/>
                <w:sz w:val="20"/>
                <w:szCs w:val="20"/>
              </w:rPr>
              <w:t>2.61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8F0AB7">
              <w:rPr>
                <w:rFonts w:asciiTheme="minorEastAsia" w:hAnsiTheme="minorEastAsia"/>
                <w:color w:val="000000"/>
                <w:sz w:val="22"/>
              </w:rPr>
              <w:t xml:space="preserve">523 </w:t>
            </w:r>
          </w:p>
        </w:tc>
      </w:tr>
      <w:tr w:rsidR="001740A4" w:rsidRPr="008F0AB7" w:rsidTr="00E8363D">
        <w:trPr>
          <w:trHeight w:val="921"/>
          <w:jc w:val="center"/>
        </w:trPr>
        <w:tc>
          <w:tcPr>
            <w:tcW w:w="2585" w:type="dxa"/>
            <w:gridSpan w:val="2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b/>
                <w:color w:val="000000"/>
                <w:sz w:val="22"/>
              </w:rPr>
              <w:t>合计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b/>
                <w:color w:val="000000"/>
                <w:sz w:val="22"/>
              </w:rPr>
              <w:t>25.00</w:t>
            </w:r>
          </w:p>
          <w:p w:rsidR="001740A4" w:rsidRPr="00BF4B4D" w:rsidRDefault="001740A4" w:rsidP="003761B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BF4B4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（折合配建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用地</w:t>
            </w:r>
            <w:r w:rsidRPr="00BF4B4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面积）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8F0AB7">
              <w:rPr>
                <w:rFonts w:asciiTheme="minorEastAsia" w:hAnsiTheme="minorEastAsia" w:hint="eastAsia"/>
                <w:b/>
                <w:color w:val="000000"/>
                <w:sz w:val="22"/>
              </w:rPr>
              <w:t>115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8F0AB7">
              <w:rPr>
                <w:rFonts w:asciiTheme="minorEastAsia" w:hAnsiTheme="minorEastAsia" w:cs="宋体" w:hint="eastAsia"/>
                <w:b/>
                <w:color w:val="000000"/>
                <w:sz w:val="22"/>
              </w:rPr>
              <w:t>23000</w:t>
            </w:r>
          </w:p>
        </w:tc>
      </w:tr>
    </w:tbl>
    <w:p w:rsidR="001740A4" w:rsidRPr="008F0AB7" w:rsidRDefault="001740A4" w:rsidP="001740A4">
      <w:pPr>
        <w:keepNext/>
        <w:keepLines/>
        <w:spacing w:before="340" w:after="330" w:line="578" w:lineRule="auto"/>
        <w:ind w:firstLine="562"/>
        <w:jc w:val="left"/>
        <w:outlineLvl w:val="0"/>
        <w:rPr>
          <w:rFonts w:eastAsia="仿宋_GB2312"/>
          <w:b/>
          <w:bCs/>
          <w:kern w:val="44"/>
          <w:sz w:val="28"/>
          <w:szCs w:val="44"/>
        </w:rPr>
        <w:sectPr w:rsidR="001740A4" w:rsidRPr="008F0AB7" w:rsidSect="003761BA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1740A4" w:rsidRPr="008F0AB7" w:rsidRDefault="001740A4" w:rsidP="001740A4">
      <w:pPr>
        <w:spacing w:line="400" w:lineRule="exact"/>
        <w:jc w:val="left"/>
        <w:outlineLvl w:val="1"/>
        <w:rPr>
          <w:rFonts w:ascii="仿宋_GB2312" w:eastAsia="仿宋_GB2312"/>
          <w:bCs/>
          <w:sz w:val="24"/>
          <w:szCs w:val="24"/>
        </w:rPr>
      </w:pPr>
      <w:bookmarkStart w:id="5" w:name="_Toc480994063"/>
      <w:r w:rsidRPr="008F0AB7">
        <w:rPr>
          <w:rFonts w:ascii="黑体" w:eastAsia="黑体" w:hAnsi="黑体" w:cs="Times New Roman" w:hint="eastAsia"/>
          <w:sz w:val="32"/>
          <w:szCs w:val="32"/>
        </w:rPr>
        <w:lastRenderedPageBreak/>
        <w:t>附表4：产业配套住房项目预安排表</w:t>
      </w:r>
      <w:bookmarkEnd w:id="5"/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706"/>
        <w:gridCol w:w="1412"/>
        <w:gridCol w:w="1172"/>
        <w:gridCol w:w="1284"/>
        <w:gridCol w:w="1571"/>
        <w:gridCol w:w="1622"/>
        <w:gridCol w:w="1130"/>
      </w:tblGrid>
      <w:tr w:rsidR="001740A4" w:rsidRPr="008F0AB7" w:rsidTr="003761BA">
        <w:trPr>
          <w:trHeight w:val="1880"/>
          <w:tblHeader/>
        </w:trPr>
        <w:tc>
          <w:tcPr>
            <w:tcW w:w="580" w:type="dxa"/>
            <w:shd w:val="clear" w:color="000000" w:fill="BFBFBF"/>
            <w:vAlign w:val="center"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6" w:type="dxa"/>
            <w:shd w:val="clear" w:color="000000" w:fill="BFBFBF"/>
            <w:noWrap/>
            <w:vAlign w:val="center"/>
            <w:hideMark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1412" w:type="dxa"/>
            <w:shd w:val="clear" w:color="000000" w:fill="BFBFBF"/>
            <w:noWrap/>
            <w:vAlign w:val="center"/>
            <w:hideMark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地块名称</w:t>
            </w:r>
          </w:p>
        </w:tc>
        <w:tc>
          <w:tcPr>
            <w:tcW w:w="1172" w:type="dxa"/>
            <w:shd w:val="clear" w:color="000000" w:fill="BFBFBF"/>
            <w:vAlign w:val="center"/>
            <w:hideMark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地块</w:t>
            </w:r>
          </w:p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1284" w:type="dxa"/>
            <w:shd w:val="clear" w:color="000000" w:fill="BFBFBF"/>
            <w:noWrap/>
            <w:vAlign w:val="center"/>
            <w:hideMark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产业用地面积</w:t>
            </w:r>
          </w:p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（公顷）</w:t>
            </w:r>
          </w:p>
        </w:tc>
        <w:tc>
          <w:tcPr>
            <w:tcW w:w="1571" w:type="dxa"/>
            <w:shd w:val="clear" w:color="000000" w:fill="BFBFBF"/>
            <w:noWrap/>
            <w:vAlign w:val="center"/>
            <w:hideMark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建筑面积</w:t>
            </w:r>
          </w:p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万平方米</w:t>
            </w:r>
            <w:proofErr w:type="gramEnd"/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622" w:type="dxa"/>
            <w:shd w:val="clear" w:color="000000" w:fill="BFBFBF"/>
            <w:vAlign w:val="center"/>
            <w:hideMark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住房套数</w:t>
            </w:r>
          </w:p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（套）</w:t>
            </w:r>
          </w:p>
        </w:tc>
        <w:tc>
          <w:tcPr>
            <w:tcW w:w="1130" w:type="dxa"/>
            <w:shd w:val="clear" w:color="000000" w:fill="BFBFBF"/>
            <w:vAlign w:val="center"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740A4" w:rsidRPr="008F0AB7" w:rsidTr="003761BA">
        <w:trPr>
          <w:trHeight w:val="1096"/>
        </w:trPr>
        <w:tc>
          <w:tcPr>
            <w:tcW w:w="580" w:type="dxa"/>
            <w:vAlign w:val="center"/>
          </w:tcPr>
          <w:p w:rsidR="001740A4" w:rsidRPr="008F0AB7" w:rsidRDefault="001740A4" w:rsidP="003761B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盐田区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唯冠数码科技(深圳)有限公司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盐田区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5.79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1.55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130" w:type="dxa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1740A4" w:rsidRPr="008F0AB7" w:rsidTr="003761BA">
        <w:trPr>
          <w:trHeight w:val="1143"/>
        </w:trPr>
        <w:tc>
          <w:tcPr>
            <w:tcW w:w="580" w:type="dxa"/>
            <w:vAlign w:val="center"/>
          </w:tcPr>
          <w:p w:rsidR="001740A4" w:rsidRPr="008F0AB7" w:rsidRDefault="001740A4" w:rsidP="003761B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深圳华大基因科技有限公司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梅沙街道盐坝高速北侧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10.3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5.78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963</w:t>
            </w:r>
          </w:p>
        </w:tc>
        <w:tc>
          <w:tcPr>
            <w:tcW w:w="1130" w:type="dxa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1740A4" w:rsidRPr="008F0AB7" w:rsidTr="003761BA">
        <w:trPr>
          <w:trHeight w:val="1145"/>
        </w:trPr>
        <w:tc>
          <w:tcPr>
            <w:tcW w:w="580" w:type="dxa"/>
            <w:vAlign w:val="center"/>
          </w:tcPr>
          <w:p w:rsidR="001740A4" w:rsidRPr="008F0AB7" w:rsidRDefault="001740A4" w:rsidP="003761B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龙岗区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深圳市</w:t>
            </w:r>
            <w:proofErr w:type="gramStart"/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冠旭电子</w:t>
            </w:r>
            <w:proofErr w:type="gramEnd"/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有限公司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龙岗区坪地镇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3.12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130" w:type="dxa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1740A4" w:rsidRPr="008F0AB7" w:rsidTr="003761BA">
        <w:trPr>
          <w:trHeight w:val="979"/>
        </w:trPr>
        <w:tc>
          <w:tcPr>
            <w:tcW w:w="580" w:type="dxa"/>
            <w:vAlign w:val="center"/>
          </w:tcPr>
          <w:p w:rsidR="001740A4" w:rsidRPr="008F0AB7" w:rsidRDefault="001740A4" w:rsidP="003761B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深圳市宝三丰房地产经纪有限公司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龙岗区龙岗镇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1.45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2.38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397</w:t>
            </w:r>
          </w:p>
        </w:tc>
        <w:tc>
          <w:tcPr>
            <w:tcW w:w="1130" w:type="dxa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1740A4" w:rsidRPr="008F0AB7" w:rsidTr="003761BA">
        <w:trPr>
          <w:trHeight w:val="879"/>
        </w:trPr>
        <w:tc>
          <w:tcPr>
            <w:tcW w:w="580" w:type="dxa"/>
            <w:vAlign w:val="center"/>
          </w:tcPr>
          <w:p w:rsidR="001740A4" w:rsidRPr="008F0AB7" w:rsidRDefault="001740A4" w:rsidP="003761B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深圳市裕同印刷包装有限公司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龙岗区坪地镇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4.36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1.82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130" w:type="dxa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1740A4" w:rsidRPr="008F0AB7" w:rsidTr="003761BA">
        <w:trPr>
          <w:trHeight w:val="928"/>
        </w:trPr>
        <w:tc>
          <w:tcPr>
            <w:tcW w:w="580" w:type="dxa"/>
            <w:vAlign w:val="center"/>
          </w:tcPr>
          <w:p w:rsidR="001740A4" w:rsidRPr="008F0AB7" w:rsidRDefault="001740A4" w:rsidP="003761B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深圳市华为投资控股有限公司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龙岗区布吉街道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11.57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1667</w:t>
            </w:r>
          </w:p>
        </w:tc>
        <w:tc>
          <w:tcPr>
            <w:tcW w:w="1130" w:type="dxa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1740A4" w:rsidRPr="008F0AB7" w:rsidTr="003761BA">
        <w:trPr>
          <w:trHeight w:val="928"/>
        </w:trPr>
        <w:tc>
          <w:tcPr>
            <w:tcW w:w="580" w:type="dxa"/>
            <w:vAlign w:val="center"/>
          </w:tcPr>
          <w:p w:rsidR="001740A4" w:rsidRPr="008F0AB7" w:rsidRDefault="001740A4" w:rsidP="003761B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龙华区</w:t>
            </w:r>
            <w:proofErr w:type="gramEnd"/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中国长安汽车集团股份有限公司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观</w:t>
            </w:r>
            <w:proofErr w:type="gramStart"/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澜</w:t>
            </w:r>
            <w:proofErr w:type="gramEnd"/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街道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99.61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25.9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4317</w:t>
            </w:r>
          </w:p>
        </w:tc>
        <w:tc>
          <w:tcPr>
            <w:tcW w:w="1130" w:type="dxa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1740A4" w:rsidRPr="008F0AB7" w:rsidTr="003761BA">
        <w:trPr>
          <w:trHeight w:val="1142"/>
        </w:trPr>
        <w:tc>
          <w:tcPr>
            <w:tcW w:w="580" w:type="dxa"/>
            <w:vAlign w:val="center"/>
          </w:tcPr>
          <w:p w:rsidR="001740A4" w:rsidRPr="008F0AB7" w:rsidRDefault="001740A4" w:rsidP="003761B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gramStart"/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坪山区</w:t>
            </w:r>
            <w:proofErr w:type="gramEnd"/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深圳市比亚迪汽车有限公司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740A4" w:rsidRPr="008F0AB7" w:rsidRDefault="001740A4" w:rsidP="003761B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70.45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24.54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4090</w:t>
            </w:r>
          </w:p>
        </w:tc>
        <w:tc>
          <w:tcPr>
            <w:tcW w:w="1130" w:type="dxa"/>
          </w:tcPr>
          <w:p w:rsidR="001740A4" w:rsidRPr="008F0AB7" w:rsidRDefault="001740A4" w:rsidP="003761B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1740A4" w:rsidRPr="008F0AB7" w:rsidTr="003761BA">
        <w:trPr>
          <w:trHeight w:val="946"/>
        </w:trPr>
        <w:tc>
          <w:tcPr>
            <w:tcW w:w="580" w:type="dxa"/>
            <w:vAlign w:val="center"/>
          </w:tcPr>
          <w:p w:rsidR="001740A4" w:rsidRPr="008F0AB7" w:rsidRDefault="001740A4" w:rsidP="003761B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1740A4" w:rsidRPr="008F0AB7" w:rsidRDefault="001740A4" w:rsidP="003761B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1740A4" w:rsidRPr="008F0AB7" w:rsidRDefault="001740A4" w:rsidP="003761B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740A4" w:rsidRPr="008F0AB7" w:rsidRDefault="001740A4" w:rsidP="003761B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hint="eastAsia"/>
                <w:bCs/>
                <w:color w:val="000000"/>
                <w:sz w:val="18"/>
                <w:szCs w:val="18"/>
              </w:rPr>
              <w:t>折合配建用地面积</w:t>
            </w:r>
            <w:r w:rsidRPr="008F0AB7">
              <w:rPr>
                <w:rFonts w:asciiTheme="majorEastAsia" w:eastAsiaTheme="majorEastAsia" w:hAnsiTheme="majorEastAsia" w:hint="eastAsia"/>
                <w:b/>
                <w:bCs/>
                <w:color w:val="000000"/>
                <w:szCs w:val="21"/>
              </w:rPr>
              <w:t>15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Cs w:val="21"/>
              </w:rPr>
              <w:t>73.09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Cs w:val="21"/>
              </w:rPr>
            </w:pPr>
            <w:r w:rsidRPr="008F0AB7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Cs w:val="21"/>
              </w:rPr>
              <w:t>12182</w:t>
            </w:r>
          </w:p>
        </w:tc>
        <w:tc>
          <w:tcPr>
            <w:tcW w:w="1130" w:type="dxa"/>
            <w:vAlign w:val="center"/>
          </w:tcPr>
          <w:p w:rsidR="001740A4" w:rsidRPr="008F0AB7" w:rsidRDefault="001740A4" w:rsidP="003761BA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Cs w:val="21"/>
              </w:rPr>
            </w:pPr>
          </w:p>
        </w:tc>
      </w:tr>
    </w:tbl>
    <w:p w:rsidR="001740A4" w:rsidRPr="008F0AB7" w:rsidRDefault="001740A4" w:rsidP="001740A4">
      <w:pPr>
        <w:ind w:firstLineChars="50" w:firstLine="105"/>
        <w:jc w:val="left"/>
        <w:outlineLvl w:val="1"/>
        <w:rPr>
          <w:rFonts w:ascii="黑体" w:eastAsia="黑体" w:hAnsi="黑体" w:cs="Times New Roman"/>
          <w:b/>
          <w:sz w:val="32"/>
          <w:szCs w:val="32"/>
        </w:rPr>
      </w:pPr>
      <w:bookmarkStart w:id="6" w:name="_Toc480993538"/>
      <w:bookmarkStart w:id="7" w:name="_Toc480994064"/>
      <w:r w:rsidRPr="008F0AB7">
        <w:rPr>
          <w:rFonts w:ascii="仿宋_GB2312" w:eastAsia="仿宋_GB2312" w:hint="eastAsia"/>
          <w:szCs w:val="21"/>
        </w:rPr>
        <w:t>注：以上为2017年（含此前）预安排产业园区配建住房项目（含配建宿舍），实际以工业用地土地出让</w:t>
      </w:r>
      <w:r w:rsidR="00774208">
        <w:rPr>
          <w:rFonts w:ascii="仿宋_GB2312" w:eastAsia="仿宋_GB2312" w:hint="eastAsia"/>
          <w:szCs w:val="21"/>
        </w:rPr>
        <w:t>合同</w:t>
      </w:r>
      <w:r w:rsidRPr="008F0AB7">
        <w:rPr>
          <w:rFonts w:ascii="仿宋_GB2312" w:eastAsia="仿宋_GB2312" w:hint="eastAsia"/>
          <w:szCs w:val="21"/>
        </w:rPr>
        <w:t>为准，土地面积为折算占地面积。</w:t>
      </w:r>
      <w:bookmarkEnd w:id="6"/>
      <w:bookmarkEnd w:id="7"/>
    </w:p>
    <w:p w:rsidR="001740A4" w:rsidRPr="008F0AB7" w:rsidRDefault="001740A4" w:rsidP="001740A4">
      <w:pPr>
        <w:outlineLvl w:val="1"/>
        <w:rPr>
          <w:rFonts w:ascii="黑体" w:eastAsia="黑体" w:hAnsi="黑体" w:cs="Times New Roman"/>
          <w:b/>
          <w:sz w:val="32"/>
          <w:szCs w:val="32"/>
        </w:rPr>
      </w:pPr>
    </w:p>
    <w:p w:rsidR="001740A4" w:rsidRPr="008F0AB7" w:rsidRDefault="001740A4" w:rsidP="001740A4">
      <w:pPr>
        <w:outlineLvl w:val="1"/>
        <w:rPr>
          <w:rFonts w:ascii="黑体" w:eastAsia="黑体" w:hAnsi="黑体" w:cs="Times New Roman"/>
          <w:b/>
          <w:sz w:val="32"/>
          <w:szCs w:val="32"/>
        </w:rPr>
      </w:pPr>
    </w:p>
    <w:p w:rsidR="001740A4" w:rsidRPr="008F0AB7" w:rsidRDefault="001740A4" w:rsidP="001740A4">
      <w:pPr>
        <w:spacing w:line="400" w:lineRule="exact"/>
        <w:jc w:val="left"/>
        <w:outlineLvl w:val="1"/>
        <w:rPr>
          <w:rFonts w:ascii="黑体" w:eastAsia="黑体" w:hAnsi="黑体" w:cs="Times New Roman"/>
          <w:sz w:val="32"/>
          <w:szCs w:val="32"/>
        </w:rPr>
      </w:pPr>
    </w:p>
    <w:p w:rsidR="001740A4" w:rsidRPr="008F0AB7" w:rsidRDefault="001740A4" w:rsidP="001740A4">
      <w:pPr>
        <w:spacing w:line="400" w:lineRule="exact"/>
        <w:jc w:val="left"/>
        <w:outlineLvl w:val="1"/>
        <w:rPr>
          <w:rFonts w:ascii="黑体" w:eastAsia="黑体" w:hAnsi="黑体" w:cs="Times New Roman"/>
          <w:sz w:val="32"/>
          <w:szCs w:val="32"/>
        </w:rPr>
      </w:pPr>
      <w:bookmarkStart w:id="8" w:name="_Toc480994065"/>
      <w:r w:rsidRPr="008F0AB7">
        <w:rPr>
          <w:rFonts w:ascii="黑体" w:eastAsia="黑体" w:hAnsi="黑体" w:cs="Times New Roman" w:hint="eastAsia"/>
          <w:sz w:val="32"/>
          <w:szCs w:val="32"/>
        </w:rPr>
        <w:lastRenderedPageBreak/>
        <w:t>附表5：深圳市供给侧结构性改革去库存2017年度行动计划工作任务分解表</w:t>
      </w:r>
      <w:bookmarkEnd w:id="8"/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457"/>
        <w:gridCol w:w="1827"/>
        <w:gridCol w:w="4628"/>
        <w:gridCol w:w="993"/>
        <w:gridCol w:w="1559"/>
      </w:tblGrid>
      <w:tr w:rsidR="001740A4" w:rsidRPr="008F0AB7" w:rsidTr="00D0600D">
        <w:trPr>
          <w:trHeight w:val="875"/>
          <w:tblHeader/>
        </w:trPr>
        <w:tc>
          <w:tcPr>
            <w:tcW w:w="457" w:type="dxa"/>
            <w:shd w:val="clear" w:color="auto" w:fill="BFBFBF" w:themeFill="background1" w:themeFillShade="BF"/>
            <w:vAlign w:val="center"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sz w:val="24"/>
                <w:szCs w:val="24"/>
              </w:rPr>
              <w:t>事项</w:t>
            </w:r>
          </w:p>
        </w:tc>
        <w:tc>
          <w:tcPr>
            <w:tcW w:w="4628" w:type="dxa"/>
            <w:shd w:val="clear" w:color="auto" w:fill="BFBFBF" w:themeFill="background1" w:themeFillShade="BF"/>
            <w:vAlign w:val="center"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sz w:val="24"/>
                <w:szCs w:val="24"/>
              </w:rPr>
              <w:t>牵头</w:t>
            </w:r>
          </w:p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sz w:val="24"/>
                <w:szCs w:val="24"/>
              </w:rPr>
              <w:t>配合</w:t>
            </w:r>
          </w:p>
          <w:p w:rsidR="001740A4" w:rsidRPr="008F0AB7" w:rsidRDefault="001740A4" w:rsidP="003761BA">
            <w:pPr>
              <w:spacing w:line="24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sz w:val="24"/>
                <w:szCs w:val="24"/>
              </w:rPr>
            </w:pPr>
            <w:r w:rsidRPr="008F0AB7">
              <w:rPr>
                <w:rFonts w:ascii="华文仿宋" w:eastAsia="华文仿宋" w:hAnsi="华文仿宋" w:cs="宋体" w:hint="eastAsia"/>
                <w:b/>
                <w:color w:val="000000"/>
                <w:sz w:val="24"/>
                <w:szCs w:val="24"/>
              </w:rPr>
              <w:t>单位</w:t>
            </w:r>
          </w:p>
        </w:tc>
      </w:tr>
      <w:tr w:rsidR="001740A4" w:rsidRPr="008F0AB7" w:rsidTr="00D0600D">
        <w:tc>
          <w:tcPr>
            <w:tcW w:w="457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1</w:t>
            </w:r>
          </w:p>
        </w:tc>
        <w:tc>
          <w:tcPr>
            <w:tcW w:w="1827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hint="eastAsia"/>
                <w:sz w:val="18"/>
                <w:szCs w:val="18"/>
              </w:rPr>
              <w:t>持续加强住房市场调控工作力度，稳定住房价格</w:t>
            </w:r>
          </w:p>
        </w:tc>
        <w:tc>
          <w:tcPr>
            <w:tcW w:w="4628" w:type="dxa"/>
            <w:vAlign w:val="center"/>
          </w:tcPr>
          <w:p w:rsidR="001740A4" w:rsidRPr="008F0AB7" w:rsidRDefault="001740A4" w:rsidP="003761BA">
            <w:pPr>
              <w:spacing w:line="28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持续执行差别化住房限购、限贷、税收等调控措施；推动中低价项目入市，加快审批服务进度，严查“捂盘惜售”等情况，加强对高价区域和高价项目的管控，努力实现住房价格相对平稳。</w:t>
            </w:r>
          </w:p>
        </w:tc>
        <w:tc>
          <w:tcPr>
            <w:tcW w:w="993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市规划</w:t>
            </w:r>
            <w:proofErr w:type="gramStart"/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国土委</w:t>
            </w:r>
            <w:proofErr w:type="gramEnd"/>
          </w:p>
        </w:tc>
        <w:tc>
          <w:tcPr>
            <w:tcW w:w="1559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市房地产调控领导小组各成员单位</w:t>
            </w:r>
          </w:p>
        </w:tc>
      </w:tr>
      <w:tr w:rsidR="001740A4" w:rsidRPr="008F0AB7" w:rsidTr="00D0600D">
        <w:tc>
          <w:tcPr>
            <w:tcW w:w="457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2</w:t>
            </w:r>
          </w:p>
        </w:tc>
        <w:tc>
          <w:tcPr>
            <w:tcW w:w="1827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加大居住用地供应力度，加快土地整备与用地出让</w:t>
            </w:r>
          </w:p>
        </w:tc>
        <w:tc>
          <w:tcPr>
            <w:tcW w:w="4628" w:type="dxa"/>
            <w:vAlign w:val="center"/>
          </w:tcPr>
          <w:p w:rsidR="001740A4" w:rsidRPr="008F0AB7" w:rsidRDefault="001740A4" w:rsidP="003761BA">
            <w:pPr>
              <w:spacing w:line="28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优化土地功能、盘活低效用地，提高居住用地比例，持续增加住房用地供应；加快用地选址工作，加快征地返还用地出让工作，加快土地整备，加快居住用地供应。</w:t>
            </w:r>
          </w:p>
        </w:tc>
        <w:tc>
          <w:tcPr>
            <w:tcW w:w="993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市规划</w:t>
            </w:r>
            <w:proofErr w:type="gramStart"/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国土委</w:t>
            </w:r>
            <w:proofErr w:type="gramEnd"/>
          </w:p>
        </w:tc>
        <w:tc>
          <w:tcPr>
            <w:tcW w:w="1559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各区政府、各新区管委会</w:t>
            </w:r>
          </w:p>
        </w:tc>
      </w:tr>
      <w:tr w:rsidR="001740A4" w:rsidRPr="008F0AB7" w:rsidTr="00D0600D">
        <w:tc>
          <w:tcPr>
            <w:tcW w:w="457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3</w:t>
            </w:r>
          </w:p>
        </w:tc>
        <w:tc>
          <w:tcPr>
            <w:tcW w:w="1827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贯彻落实“强区放权”，加快城市更新实施</w:t>
            </w:r>
          </w:p>
        </w:tc>
        <w:tc>
          <w:tcPr>
            <w:tcW w:w="4628" w:type="dxa"/>
            <w:vAlign w:val="center"/>
          </w:tcPr>
          <w:p w:rsidR="001740A4" w:rsidRPr="008F0AB7" w:rsidRDefault="001740A4" w:rsidP="003761BA">
            <w:pPr>
              <w:spacing w:line="28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深入贯彻落实城市更新“强区放权”的改革要求，建立健全城市更新体制机制，完善配套政策措施，确保城市更新下放事权接得住、办得好。加快推进城市更新实施，加大人才住房和保障性住房供应力度。将产业园区配套宿舍纳入人才保障房监管体系，在报设计方案和签订土地合同前，住</w:t>
            </w:r>
            <w:proofErr w:type="gramStart"/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建部门</w:t>
            </w:r>
            <w:proofErr w:type="gramEnd"/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应确定配建人才住房和保障性住房类型。</w:t>
            </w:r>
          </w:p>
        </w:tc>
        <w:tc>
          <w:tcPr>
            <w:tcW w:w="993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各区政府、新区管委会</w:t>
            </w:r>
          </w:p>
        </w:tc>
        <w:tc>
          <w:tcPr>
            <w:tcW w:w="1559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市规划</w:t>
            </w:r>
            <w:proofErr w:type="gramStart"/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国土委</w:t>
            </w:r>
            <w:proofErr w:type="gramEnd"/>
          </w:p>
        </w:tc>
      </w:tr>
      <w:tr w:rsidR="001740A4" w:rsidRPr="008F0AB7" w:rsidTr="00D0600D">
        <w:trPr>
          <w:trHeight w:val="1168"/>
        </w:trPr>
        <w:tc>
          <w:tcPr>
            <w:tcW w:w="457" w:type="dxa"/>
            <w:vMerge w:val="restart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4</w:t>
            </w:r>
          </w:p>
        </w:tc>
        <w:tc>
          <w:tcPr>
            <w:tcW w:w="1827" w:type="dxa"/>
            <w:vMerge w:val="restart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多渠道拓展人才住房和保障性住房来源，加快人才安居工程建设</w:t>
            </w:r>
          </w:p>
        </w:tc>
        <w:tc>
          <w:tcPr>
            <w:tcW w:w="4628" w:type="dxa"/>
            <w:vAlign w:val="center"/>
          </w:tcPr>
          <w:p w:rsidR="001740A4" w:rsidRPr="008F0AB7" w:rsidRDefault="001740A4" w:rsidP="003761BA">
            <w:pPr>
              <w:spacing w:line="28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严格落实《关于完善人才住房制度的若干措施》，多渠道拓展人才住房和保障性住房来源。</w:t>
            </w:r>
            <w:r w:rsidRPr="008F0AB7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市住房建设局</w:t>
            </w:r>
          </w:p>
        </w:tc>
        <w:tc>
          <w:tcPr>
            <w:tcW w:w="1559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各区政府、各新区管委会</w:t>
            </w:r>
          </w:p>
        </w:tc>
      </w:tr>
      <w:tr w:rsidR="001740A4" w:rsidRPr="008F0AB7" w:rsidTr="00D0600D">
        <w:trPr>
          <w:trHeight w:val="788"/>
        </w:trPr>
        <w:tc>
          <w:tcPr>
            <w:tcW w:w="457" w:type="dxa"/>
            <w:vMerge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28" w:type="dxa"/>
            <w:vAlign w:val="center"/>
          </w:tcPr>
          <w:p w:rsidR="001740A4" w:rsidRPr="008F0AB7" w:rsidRDefault="001740A4" w:rsidP="003761BA">
            <w:pPr>
              <w:spacing w:line="28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持续创新商品住房用地出让模式，“招拍挂”出让商品住房用地，土地溢价率超过一定比例的，由竞价转为竞配建人才住房和保障性住房面积；严格落实《关于加强和改进城市更新实施工作的暂行措施》，提高人才住房和保障性住房的配建比例。</w:t>
            </w:r>
          </w:p>
        </w:tc>
        <w:tc>
          <w:tcPr>
            <w:tcW w:w="993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市规划</w:t>
            </w:r>
            <w:proofErr w:type="gramStart"/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国土委</w:t>
            </w:r>
            <w:proofErr w:type="gramEnd"/>
          </w:p>
        </w:tc>
        <w:tc>
          <w:tcPr>
            <w:tcW w:w="1559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各区政府、各新区管委会</w:t>
            </w:r>
          </w:p>
        </w:tc>
      </w:tr>
      <w:tr w:rsidR="001740A4" w:rsidRPr="008F0AB7" w:rsidTr="00D0600D">
        <w:tc>
          <w:tcPr>
            <w:tcW w:w="457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5</w:t>
            </w:r>
          </w:p>
        </w:tc>
        <w:tc>
          <w:tcPr>
            <w:tcW w:w="1827" w:type="dxa"/>
            <w:vAlign w:val="center"/>
          </w:tcPr>
          <w:p w:rsidR="001740A4" w:rsidRPr="008F0AB7" w:rsidRDefault="001740A4" w:rsidP="003761BA">
            <w:pPr>
              <w:spacing w:line="28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探索老旧住宅区棚户区改造机制改革，加快棚户区改造工作</w:t>
            </w:r>
          </w:p>
        </w:tc>
        <w:tc>
          <w:tcPr>
            <w:tcW w:w="4628" w:type="dxa"/>
            <w:vAlign w:val="center"/>
          </w:tcPr>
          <w:p w:rsidR="001740A4" w:rsidRPr="008F0AB7" w:rsidRDefault="001740A4" w:rsidP="003761BA">
            <w:pPr>
              <w:spacing w:line="28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加强老旧住宅区棚户区改造工作的顶层设计，研究制订棚户区改造工作的指导意见和配套实施办法，明确棚户区改造的范围、界定标准和操作流程，不断完善棚户区改造的政策、机制和措施，大力推动老旧住宅区棚户区改造，改善区域居住条件，消除住房质量安全隐患，完善城市配套设施，盘活土地资源支持人才住房、保障性住房建设和供应。</w:t>
            </w:r>
          </w:p>
        </w:tc>
        <w:tc>
          <w:tcPr>
            <w:tcW w:w="993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市住房建设局</w:t>
            </w:r>
          </w:p>
        </w:tc>
        <w:tc>
          <w:tcPr>
            <w:tcW w:w="1559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各区政府及新区管委会</w:t>
            </w:r>
          </w:p>
        </w:tc>
      </w:tr>
      <w:tr w:rsidR="001740A4" w:rsidRPr="008F0AB7" w:rsidTr="00D0600D">
        <w:trPr>
          <w:trHeight w:val="313"/>
        </w:trPr>
        <w:tc>
          <w:tcPr>
            <w:tcW w:w="457" w:type="dxa"/>
            <w:vMerge w:val="restart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6</w:t>
            </w:r>
          </w:p>
        </w:tc>
        <w:tc>
          <w:tcPr>
            <w:tcW w:w="1827" w:type="dxa"/>
            <w:vMerge w:val="restart"/>
            <w:vAlign w:val="center"/>
          </w:tcPr>
          <w:p w:rsidR="001740A4" w:rsidRPr="008F0AB7" w:rsidRDefault="001740A4" w:rsidP="003761BA">
            <w:pPr>
              <w:spacing w:line="28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推进绿色社区建设，推广装配式建筑</w:t>
            </w:r>
          </w:p>
        </w:tc>
        <w:tc>
          <w:tcPr>
            <w:tcW w:w="4628" w:type="dxa"/>
            <w:vAlign w:val="center"/>
          </w:tcPr>
          <w:p w:rsidR="001740A4" w:rsidRPr="008F0AB7" w:rsidRDefault="001740A4" w:rsidP="003761BA">
            <w:pPr>
              <w:spacing w:line="28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加强绿色社区、智慧社区建设，新出让住宅用地项目全面推广装配式建筑，积极在城市更新项目推广装配式建筑。</w:t>
            </w:r>
          </w:p>
        </w:tc>
        <w:tc>
          <w:tcPr>
            <w:tcW w:w="993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市住房建设局</w:t>
            </w:r>
          </w:p>
        </w:tc>
        <w:tc>
          <w:tcPr>
            <w:tcW w:w="1559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各区政府及新区管委会</w:t>
            </w:r>
          </w:p>
        </w:tc>
      </w:tr>
      <w:tr w:rsidR="001740A4" w:rsidRPr="008F0AB7" w:rsidTr="00D0600D">
        <w:trPr>
          <w:trHeight w:val="258"/>
        </w:trPr>
        <w:tc>
          <w:tcPr>
            <w:tcW w:w="457" w:type="dxa"/>
            <w:vMerge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vAlign w:val="center"/>
          </w:tcPr>
          <w:p w:rsidR="001740A4" w:rsidRPr="008F0AB7" w:rsidRDefault="001740A4" w:rsidP="003761BA">
            <w:pPr>
              <w:spacing w:line="28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28" w:type="dxa"/>
            <w:vAlign w:val="center"/>
          </w:tcPr>
          <w:p w:rsidR="001740A4" w:rsidRPr="008F0AB7" w:rsidRDefault="001740A4" w:rsidP="003761BA">
            <w:pPr>
              <w:spacing w:line="28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探索采取新建商品房价格剔除装修价格后计税等措施，加快推广商品房一次性装修到位。</w:t>
            </w:r>
          </w:p>
        </w:tc>
        <w:tc>
          <w:tcPr>
            <w:tcW w:w="993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市规划</w:t>
            </w:r>
            <w:proofErr w:type="gramStart"/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国土委</w:t>
            </w:r>
            <w:proofErr w:type="gramEnd"/>
          </w:p>
        </w:tc>
        <w:tc>
          <w:tcPr>
            <w:tcW w:w="1559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市财政委、市地税局</w:t>
            </w:r>
          </w:p>
        </w:tc>
      </w:tr>
      <w:tr w:rsidR="001740A4" w:rsidRPr="008F0AB7" w:rsidTr="00D0600D">
        <w:tc>
          <w:tcPr>
            <w:tcW w:w="457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7</w:t>
            </w:r>
          </w:p>
        </w:tc>
        <w:tc>
          <w:tcPr>
            <w:tcW w:w="1827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加快培育住房租赁市场，规范租赁市场秩序</w:t>
            </w:r>
          </w:p>
        </w:tc>
        <w:tc>
          <w:tcPr>
            <w:tcW w:w="4628" w:type="dxa"/>
            <w:vAlign w:val="center"/>
          </w:tcPr>
          <w:p w:rsidR="001740A4" w:rsidRPr="008F0AB7" w:rsidRDefault="001740A4" w:rsidP="003761BA">
            <w:pPr>
              <w:spacing w:line="28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加快出台《深圳市培育和发展住房租赁市场的实施意见》和《深圳市住房租赁管理办法》；培育租赁行业，鼓励企业规模化租赁经营，引导和规范房地产开发企业、房地产综合服务企业开展长租公寓经营；落实税收、金融等支持政策、加强行业监管，加强租金管控，规范租赁市场秩序，保障租赁市场主体的合法权益。</w:t>
            </w:r>
          </w:p>
        </w:tc>
        <w:tc>
          <w:tcPr>
            <w:tcW w:w="993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市规划</w:t>
            </w:r>
            <w:proofErr w:type="gramStart"/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国土委</w:t>
            </w:r>
            <w:proofErr w:type="gramEnd"/>
          </w:p>
        </w:tc>
        <w:tc>
          <w:tcPr>
            <w:tcW w:w="1559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市租赁办</w:t>
            </w:r>
          </w:p>
        </w:tc>
      </w:tr>
      <w:tr w:rsidR="001740A4" w:rsidRPr="008F0AB7" w:rsidTr="00D0600D">
        <w:tc>
          <w:tcPr>
            <w:tcW w:w="457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8</w:t>
            </w:r>
          </w:p>
        </w:tc>
        <w:tc>
          <w:tcPr>
            <w:tcW w:w="1827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完善人才住房和保障性住房政策，完善差别化信贷政策储备</w:t>
            </w:r>
          </w:p>
        </w:tc>
        <w:tc>
          <w:tcPr>
            <w:tcW w:w="4628" w:type="dxa"/>
            <w:vAlign w:val="center"/>
          </w:tcPr>
          <w:p w:rsidR="001740A4" w:rsidRPr="008F0AB7" w:rsidRDefault="001740A4" w:rsidP="003761BA">
            <w:pPr>
              <w:spacing w:line="28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加快修订《深圳市保障性住房条例》；探索研究共有产权住房制度，加强对人才及中低收入家庭的住房产权保障；完善差别化信贷政策储备，探索建立地方政策性住房金融体系，加大对人才、中低收入人群的购房支持。</w:t>
            </w:r>
          </w:p>
        </w:tc>
        <w:tc>
          <w:tcPr>
            <w:tcW w:w="993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市住房建设局</w:t>
            </w:r>
          </w:p>
        </w:tc>
        <w:tc>
          <w:tcPr>
            <w:tcW w:w="1559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人民银行深圳市中心支行、深圳银监局</w:t>
            </w:r>
          </w:p>
        </w:tc>
      </w:tr>
      <w:tr w:rsidR="001740A4" w:rsidRPr="008F0AB7" w:rsidTr="00D0600D">
        <w:tc>
          <w:tcPr>
            <w:tcW w:w="457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lastRenderedPageBreak/>
              <w:t>9</w:t>
            </w:r>
          </w:p>
        </w:tc>
        <w:tc>
          <w:tcPr>
            <w:tcW w:w="1827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做好人才住房和保障性住房供应和宣传工作，构建人才住房和保障性住房信息平台</w:t>
            </w:r>
          </w:p>
        </w:tc>
        <w:tc>
          <w:tcPr>
            <w:tcW w:w="4628" w:type="dxa"/>
            <w:vAlign w:val="center"/>
          </w:tcPr>
          <w:p w:rsidR="001740A4" w:rsidRPr="008F0AB7" w:rsidRDefault="001740A4" w:rsidP="003761BA">
            <w:pPr>
              <w:spacing w:line="28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进一步做好人才住房分配管理工作，加大人才住房补贴力度；加大对人才住房和保障性住房分配工作的宣传力度；加快构建人才住房和保障性住房信息平台。</w:t>
            </w:r>
          </w:p>
        </w:tc>
        <w:tc>
          <w:tcPr>
            <w:tcW w:w="993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市住房建设局</w:t>
            </w:r>
          </w:p>
        </w:tc>
        <w:tc>
          <w:tcPr>
            <w:tcW w:w="1559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市财政委、各区政府及新区管委会</w:t>
            </w:r>
          </w:p>
        </w:tc>
      </w:tr>
      <w:tr w:rsidR="001740A4" w:rsidRPr="008F0AB7" w:rsidTr="00D0600D">
        <w:tc>
          <w:tcPr>
            <w:tcW w:w="457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10</w:t>
            </w:r>
          </w:p>
        </w:tc>
        <w:tc>
          <w:tcPr>
            <w:tcW w:w="1827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加大房地产市场秩序整顿，</w:t>
            </w:r>
            <w:proofErr w:type="gramStart"/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完善部门</w:t>
            </w:r>
            <w:proofErr w:type="gramEnd"/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联动的工作机制</w:t>
            </w:r>
          </w:p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28" w:type="dxa"/>
            <w:vAlign w:val="center"/>
          </w:tcPr>
          <w:p w:rsidR="001740A4" w:rsidRPr="008F0AB7" w:rsidRDefault="001740A4" w:rsidP="003761BA">
            <w:pPr>
              <w:spacing w:line="28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加强部门联动，建立各有关部门信息共享、情况互通、联动查处、齐抓共管的工作机制，促进市场秩序整顿“常规化”、“制度化”，加强金融监管，严厉打击中介、媒体的各类违法违规行为，以诚信管理“黑名单”为手段，发挥行业自律和市场自我监管的作用。</w:t>
            </w:r>
          </w:p>
        </w:tc>
        <w:tc>
          <w:tcPr>
            <w:tcW w:w="993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市规划</w:t>
            </w:r>
            <w:proofErr w:type="gramStart"/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国土委</w:t>
            </w:r>
            <w:proofErr w:type="gramEnd"/>
          </w:p>
        </w:tc>
        <w:tc>
          <w:tcPr>
            <w:tcW w:w="1559" w:type="dxa"/>
            <w:vAlign w:val="center"/>
          </w:tcPr>
          <w:p w:rsidR="001740A4" w:rsidRPr="008F0AB7" w:rsidRDefault="001740A4" w:rsidP="003761BA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F0AB7">
              <w:rPr>
                <w:rFonts w:asciiTheme="minorEastAsia" w:hAnsiTheme="minorEastAsia" w:cs="Times New Roman" w:hint="eastAsia"/>
                <w:sz w:val="18"/>
                <w:szCs w:val="18"/>
              </w:rPr>
              <w:t>市房地产调控领导小组各成员单位</w:t>
            </w:r>
          </w:p>
        </w:tc>
      </w:tr>
    </w:tbl>
    <w:p w:rsidR="001740A4" w:rsidRPr="008F0AB7" w:rsidRDefault="001740A4" w:rsidP="001740A4">
      <w:pPr>
        <w:widowControl/>
        <w:jc w:val="left"/>
        <w:rPr>
          <w:rFonts w:ascii="黑体" w:eastAsia="黑体" w:hAnsi="黑体" w:cs="Times New Roman"/>
          <w:b/>
          <w:sz w:val="32"/>
          <w:szCs w:val="32"/>
        </w:rPr>
      </w:pPr>
      <w:r w:rsidRPr="008F0AB7">
        <w:rPr>
          <w:rFonts w:ascii="黑体" w:eastAsia="黑体" w:hAnsi="黑体" w:cs="Times New Roman"/>
          <w:b/>
          <w:sz w:val="32"/>
          <w:szCs w:val="32"/>
        </w:rPr>
        <w:br w:type="page"/>
      </w:r>
    </w:p>
    <w:p w:rsidR="001740A4" w:rsidRPr="008F0AB7" w:rsidRDefault="001740A4" w:rsidP="001740A4">
      <w:pPr>
        <w:outlineLvl w:val="1"/>
        <w:rPr>
          <w:rFonts w:ascii="黑体" w:eastAsia="黑体" w:hAnsi="黑体" w:cs="Times New Roman"/>
          <w:b/>
          <w:sz w:val="32"/>
          <w:szCs w:val="32"/>
        </w:rPr>
        <w:sectPr w:rsidR="001740A4" w:rsidRPr="008F0AB7" w:rsidSect="003761B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1740A4" w:rsidRPr="008F0AB7" w:rsidRDefault="001740A4" w:rsidP="001740A4">
      <w:pPr>
        <w:outlineLvl w:val="1"/>
        <w:rPr>
          <w:rFonts w:ascii="黑体" w:eastAsia="黑体" w:hAnsi="黑体" w:cs="Times New Roman"/>
          <w:b/>
          <w:sz w:val="32"/>
          <w:szCs w:val="32"/>
        </w:rPr>
      </w:pPr>
      <w:bookmarkStart w:id="9" w:name="_Toc480994066"/>
      <w:bookmarkStart w:id="10" w:name="_GoBack"/>
      <w:r w:rsidRPr="00A301FE">
        <w:rPr>
          <w:rFonts w:ascii="黑体" w:eastAsia="黑体" w:hAnsi="黑体" w:cs="Times New Roman" w:hint="eastAsia"/>
          <w:b/>
          <w:sz w:val="32"/>
          <w:szCs w:val="32"/>
        </w:rPr>
        <w:lastRenderedPageBreak/>
        <w:t>附图：2017年度人才住房和保障性住房新供用地</w:t>
      </w:r>
      <w:r w:rsidR="00915C59" w:rsidRPr="00A301FE">
        <w:rPr>
          <w:rFonts w:ascii="黑体" w:eastAsia="黑体" w:hAnsi="黑体" w:cs="Times New Roman" w:hint="eastAsia"/>
          <w:b/>
          <w:sz w:val="32"/>
          <w:szCs w:val="32"/>
        </w:rPr>
        <w:t>项目</w:t>
      </w:r>
      <w:r w:rsidRPr="00A301FE">
        <w:rPr>
          <w:rFonts w:ascii="黑体" w:eastAsia="黑体" w:hAnsi="黑体" w:cs="Times New Roman" w:hint="eastAsia"/>
          <w:b/>
          <w:sz w:val="32"/>
          <w:szCs w:val="32"/>
        </w:rPr>
        <w:t>预</w:t>
      </w:r>
      <w:r w:rsidR="00915C59" w:rsidRPr="00A301FE">
        <w:rPr>
          <w:rFonts w:ascii="黑体" w:eastAsia="黑体" w:hAnsi="黑体" w:cs="Times New Roman" w:hint="eastAsia"/>
          <w:b/>
          <w:sz w:val="32"/>
          <w:szCs w:val="32"/>
        </w:rPr>
        <w:t>选库</w:t>
      </w:r>
      <w:r w:rsidRPr="00A301FE">
        <w:rPr>
          <w:rFonts w:ascii="黑体" w:eastAsia="黑体" w:hAnsi="黑体" w:cs="Times New Roman" w:hint="eastAsia"/>
          <w:b/>
          <w:sz w:val="32"/>
          <w:szCs w:val="32"/>
        </w:rPr>
        <w:t>示意图</w:t>
      </w:r>
      <w:bookmarkEnd w:id="9"/>
    </w:p>
    <w:bookmarkEnd w:id="10"/>
    <w:p w:rsidR="000A2155" w:rsidRPr="001740A4" w:rsidRDefault="00915C59" w:rsidP="001740A4">
      <w:pPr>
        <w:outlineLvl w:val="1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/>
          <w:b/>
          <w:noProof/>
          <w:sz w:val="32"/>
          <w:szCs w:val="32"/>
        </w:rPr>
        <w:drawing>
          <wp:inline distT="0" distB="0" distL="0" distR="0">
            <wp:extent cx="8867955" cy="452024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深圳市2017-2020年人才住房和保障性住房新供用地预选项目-11个点-tojy06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5862" cy="45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155" w:rsidRPr="001740A4" w:rsidSect="003761B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F92" w:rsidRDefault="00D72F92">
      <w:r>
        <w:separator/>
      </w:r>
    </w:p>
  </w:endnote>
  <w:endnote w:type="continuationSeparator" w:id="0">
    <w:p w:rsidR="00D72F92" w:rsidRDefault="00D7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BA" w:rsidRDefault="003761BA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04690" wp14:editId="022FF81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63855" cy="381000"/>
              <wp:effectExtent l="0" t="0" r="8255" b="889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761BA" w:rsidRDefault="003761BA"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55DC1" w:rsidRPr="00C55DC1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8.65pt;height:30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" filled="f" stroked="f">
              <v:textbox style="mso-fit-shape-to-text:t" inset="0,0,0,0">
                <w:txbxContent>
                  <w:p w:rsidR="003761BA" w:rsidRDefault="003761BA"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55DC1" w:rsidRPr="00C55DC1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F92" w:rsidRDefault="00D72F92">
      <w:r>
        <w:separator/>
      </w:r>
    </w:p>
  </w:footnote>
  <w:footnote w:type="continuationSeparator" w:id="0">
    <w:p w:rsidR="00D72F92" w:rsidRDefault="00D72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BA" w:rsidRDefault="003761BA" w:rsidP="003761BA">
    <w:pPr>
      <w:pStyle w:val="a3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A4"/>
    <w:rsid w:val="0005682E"/>
    <w:rsid w:val="00084659"/>
    <w:rsid w:val="000A2155"/>
    <w:rsid w:val="000C7775"/>
    <w:rsid w:val="001740A4"/>
    <w:rsid w:val="00264220"/>
    <w:rsid w:val="00310ED7"/>
    <w:rsid w:val="003433BF"/>
    <w:rsid w:val="00354F82"/>
    <w:rsid w:val="003761BA"/>
    <w:rsid w:val="00453FB9"/>
    <w:rsid w:val="00530CDB"/>
    <w:rsid w:val="0061250F"/>
    <w:rsid w:val="006161C0"/>
    <w:rsid w:val="006C6544"/>
    <w:rsid w:val="006D38E1"/>
    <w:rsid w:val="007165B2"/>
    <w:rsid w:val="00774208"/>
    <w:rsid w:val="007D6BDB"/>
    <w:rsid w:val="008F2A6F"/>
    <w:rsid w:val="00915C59"/>
    <w:rsid w:val="009702A9"/>
    <w:rsid w:val="00971534"/>
    <w:rsid w:val="00A301FE"/>
    <w:rsid w:val="00B4210F"/>
    <w:rsid w:val="00B97127"/>
    <w:rsid w:val="00BC520D"/>
    <w:rsid w:val="00BE62C9"/>
    <w:rsid w:val="00C324DC"/>
    <w:rsid w:val="00C37FC9"/>
    <w:rsid w:val="00C55DC1"/>
    <w:rsid w:val="00C67408"/>
    <w:rsid w:val="00CA755C"/>
    <w:rsid w:val="00D0600D"/>
    <w:rsid w:val="00D647B2"/>
    <w:rsid w:val="00D72F92"/>
    <w:rsid w:val="00E309DC"/>
    <w:rsid w:val="00E64E21"/>
    <w:rsid w:val="00E8363D"/>
    <w:rsid w:val="00EA6CCE"/>
    <w:rsid w:val="00FA1273"/>
    <w:rsid w:val="00FA7088"/>
    <w:rsid w:val="00FB2D59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0A4"/>
    <w:rPr>
      <w:sz w:val="18"/>
      <w:szCs w:val="18"/>
    </w:rPr>
  </w:style>
  <w:style w:type="table" w:styleId="a5">
    <w:name w:val="Table Grid"/>
    <w:basedOn w:val="a1"/>
    <w:uiPriority w:val="59"/>
    <w:qFormat/>
    <w:rsid w:val="001740A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740A4"/>
    <w:pPr>
      <w:widowControl/>
      <w:spacing w:before="100" w:beforeAutospacing="1" w:after="100" w:afterAutospacing="1" w:line="60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740A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740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0A4"/>
    <w:rPr>
      <w:sz w:val="18"/>
      <w:szCs w:val="18"/>
    </w:rPr>
  </w:style>
  <w:style w:type="table" w:styleId="a5">
    <w:name w:val="Table Grid"/>
    <w:basedOn w:val="a1"/>
    <w:uiPriority w:val="59"/>
    <w:qFormat/>
    <w:rsid w:val="001740A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740A4"/>
    <w:pPr>
      <w:widowControl/>
      <w:spacing w:before="100" w:beforeAutospacing="1" w:after="100" w:afterAutospacing="1" w:line="60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740A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740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495</Words>
  <Characters>2825</Characters>
  <Application>Microsoft Office Word</Application>
  <DocSecurity>0</DocSecurity>
  <Lines>23</Lines>
  <Paragraphs>6</Paragraphs>
  <ScaleCrop>false</ScaleCrop>
  <Company>Chinese ORG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汪哲</dc:creator>
  <cp:lastModifiedBy>xul</cp:lastModifiedBy>
  <cp:revision>2</cp:revision>
  <dcterms:created xsi:type="dcterms:W3CDTF">2017-07-07T09:37:00Z</dcterms:created>
  <dcterms:modified xsi:type="dcterms:W3CDTF">2017-07-07T09:37:00Z</dcterms:modified>
</cp:coreProperties>
</file>